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14980" w14:textId="3F54E04A" w:rsidR="00A729F5" w:rsidRPr="00DA12F7" w:rsidRDefault="00A729F5" w:rsidP="00A729F5">
      <w:pPr>
        <w:tabs>
          <w:tab w:val="right" w:pos="9630"/>
        </w:tabs>
        <w:spacing w:after="0"/>
      </w:pPr>
      <w:r w:rsidRPr="00DA12F7">
        <w:rPr>
          <w:rFonts w:ascii="Arial" w:hAnsi="Arial" w:cs="Arial"/>
          <w:b/>
          <w:sz w:val="24"/>
        </w:rPr>
        <w:t xml:space="preserve">3GPP TSG RAN WG1 </w:t>
      </w:r>
      <w:r w:rsidR="00FE650C">
        <w:rPr>
          <w:rFonts w:ascii="Arial" w:hAnsi="Arial" w:cs="Arial"/>
          <w:b/>
          <w:sz w:val="24"/>
        </w:rPr>
        <w:t xml:space="preserve">Meeting </w:t>
      </w:r>
      <w:r w:rsidR="009E1522">
        <w:rPr>
          <w:rFonts w:ascii="Arial" w:hAnsi="Arial" w:cs="Arial"/>
          <w:b/>
          <w:sz w:val="24"/>
        </w:rPr>
        <w:t>#92</w:t>
      </w:r>
      <w:r w:rsidR="00D073F8">
        <w:rPr>
          <w:rFonts w:ascii="Arial" w:hAnsi="Arial" w:cs="Arial"/>
          <w:b/>
          <w:sz w:val="24"/>
        </w:rPr>
        <w:t>bis</w:t>
      </w:r>
      <w:r w:rsidRPr="00DA12F7">
        <w:rPr>
          <w:rFonts w:ascii="Arial" w:hAnsi="Arial" w:cs="Arial"/>
          <w:b/>
          <w:sz w:val="24"/>
        </w:rPr>
        <w:tab/>
        <w:t>R1-</w:t>
      </w:r>
      <w:r w:rsidR="0064080A" w:rsidRPr="0064080A">
        <w:rPr>
          <w:rFonts w:ascii="Arial" w:hAnsi="Arial" w:cs="Arial"/>
          <w:b/>
          <w:sz w:val="24"/>
        </w:rPr>
        <w:t>1804809</w:t>
      </w:r>
    </w:p>
    <w:p w14:paraId="0C2D9163" w14:textId="400D3E76" w:rsidR="00A729F5" w:rsidRPr="00DA12F7" w:rsidRDefault="00E449F7" w:rsidP="00A729F5">
      <w:pPr>
        <w:tabs>
          <w:tab w:val="right" w:pos="9630"/>
        </w:tabs>
        <w:spacing w:after="0"/>
        <w:rPr>
          <w:rFonts w:ascii="Arial" w:hAnsi="Arial" w:cs="Arial"/>
          <w:b/>
          <w:sz w:val="24"/>
          <w:szCs w:val="24"/>
        </w:rPr>
      </w:pPr>
      <w:r w:rsidRPr="00E06EA6">
        <w:rPr>
          <w:rFonts w:ascii="Arial" w:hAnsi="Arial" w:cs="Arial"/>
          <w:b/>
          <w:sz w:val="24"/>
          <w:szCs w:val="24"/>
        </w:rPr>
        <w:t>Sanya, China, April 16</w:t>
      </w:r>
      <w:r w:rsidRPr="00E06EA6">
        <w:rPr>
          <w:rFonts w:ascii="Arial" w:hAnsi="Arial" w:cs="Arial"/>
          <w:b/>
          <w:sz w:val="24"/>
          <w:szCs w:val="24"/>
          <w:vertAlign w:val="superscript"/>
        </w:rPr>
        <w:t>th</w:t>
      </w:r>
      <w:r>
        <w:rPr>
          <w:rFonts w:ascii="Arial" w:hAnsi="Arial" w:cs="Arial"/>
          <w:b/>
          <w:sz w:val="24"/>
          <w:szCs w:val="24"/>
        </w:rPr>
        <w:t xml:space="preserve"> </w:t>
      </w:r>
      <w:r w:rsidRPr="00E06EA6">
        <w:rPr>
          <w:rFonts w:ascii="Arial" w:hAnsi="Arial" w:cs="Arial"/>
          <w:b/>
          <w:sz w:val="24"/>
          <w:szCs w:val="24"/>
        </w:rPr>
        <w:t>– 20</w:t>
      </w:r>
      <w:r w:rsidRPr="00E06EA6">
        <w:rPr>
          <w:rFonts w:ascii="Arial" w:hAnsi="Arial" w:cs="Arial"/>
          <w:b/>
          <w:sz w:val="24"/>
          <w:szCs w:val="24"/>
          <w:vertAlign w:val="superscript"/>
        </w:rPr>
        <w:t>th</w:t>
      </w:r>
      <w:r>
        <w:rPr>
          <w:rFonts w:ascii="Arial" w:hAnsi="Arial" w:cs="Arial"/>
          <w:b/>
          <w:sz w:val="24"/>
          <w:szCs w:val="24"/>
        </w:rPr>
        <w:t>,</w:t>
      </w:r>
      <w:r w:rsidRPr="00E06EA6">
        <w:rPr>
          <w:rFonts w:ascii="Arial" w:hAnsi="Arial" w:cs="Arial"/>
          <w:b/>
          <w:sz w:val="24"/>
          <w:szCs w:val="24"/>
        </w:rPr>
        <w:t xml:space="preserve"> 2018</w:t>
      </w:r>
    </w:p>
    <w:p w14:paraId="43B7F87B" w14:textId="77777777" w:rsidR="0068226B" w:rsidRPr="000A64D8" w:rsidRDefault="0068226B" w:rsidP="00480B03">
      <w:pPr>
        <w:pStyle w:val="Footer"/>
        <w:jc w:val="both"/>
        <w:rPr>
          <w:noProof w:val="0"/>
        </w:rPr>
      </w:pPr>
    </w:p>
    <w:p w14:paraId="43B7F87C" w14:textId="21C26E8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F00B6">
        <w:rPr>
          <w:rFonts w:ascii="Arial" w:hAnsi="Arial"/>
          <w:sz w:val="24"/>
        </w:rPr>
        <w:t>7</w:t>
      </w:r>
      <w:r w:rsidR="00955C57">
        <w:rPr>
          <w:rFonts w:ascii="Arial" w:hAnsi="Arial"/>
          <w:sz w:val="24"/>
        </w:rPr>
        <w:t>.</w:t>
      </w:r>
      <w:r w:rsidR="009E1522">
        <w:rPr>
          <w:rFonts w:ascii="Arial" w:hAnsi="Arial"/>
          <w:sz w:val="24"/>
        </w:rPr>
        <w:t>1.</w:t>
      </w:r>
      <w:r w:rsidR="00955C57">
        <w:rPr>
          <w:rFonts w:ascii="Arial" w:hAnsi="Arial"/>
          <w:sz w:val="24"/>
        </w:rPr>
        <w:t>3.</w:t>
      </w:r>
      <w:r w:rsidR="008708B4">
        <w:rPr>
          <w:rFonts w:ascii="Arial" w:hAnsi="Arial"/>
          <w:sz w:val="24"/>
        </w:rPr>
        <w:t>4</w:t>
      </w:r>
      <w:r w:rsidR="00FF00B6">
        <w:rPr>
          <w:rFonts w:ascii="Arial" w:hAnsi="Arial"/>
          <w:sz w:val="24"/>
        </w:rPr>
        <w:t>.</w:t>
      </w:r>
      <w:r w:rsidR="00FC6C9B">
        <w:rPr>
          <w:rFonts w:ascii="Arial" w:hAnsi="Arial"/>
          <w:sz w:val="24"/>
        </w:rPr>
        <w:t>1</w:t>
      </w:r>
    </w:p>
    <w:p w14:paraId="43B7F87D" w14:textId="7D1B9A3C"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E0D98E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E650C">
        <w:rPr>
          <w:rFonts w:ascii="Arial" w:hAnsi="Arial"/>
          <w:sz w:val="22"/>
        </w:rPr>
        <w:t>Remaining</w:t>
      </w:r>
      <w:r w:rsidR="00FF00B6">
        <w:rPr>
          <w:rFonts w:ascii="Arial" w:hAnsi="Arial"/>
          <w:sz w:val="22"/>
        </w:rPr>
        <w:t xml:space="preserve"> </w:t>
      </w:r>
      <w:r w:rsidR="00EE20B3">
        <w:rPr>
          <w:rFonts w:ascii="Arial" w:hAnsi="Arial"/>
          <w:sz w:val="22"/>
        </w:rPr>
        <w:t>Issue</w:t>
      </w:r>
      <w:r w:rsidR="00901BDF">
        <w:rPr>
          <w:rFonts w:ascii="Arial" w:hAnsi="Arial"/>
          <w:sz w:val="22"/>
        </w:rPr>
        <w:t>s</w:t>
      </w:r>
      <w:r w:rsidR="00FF00B6">
        <w:rPr>
          <w:rFonts w:ascii="Arial" w:hAnsi="Arial"/>
          <w:sz w:val="22"/>
        </w:rPr>
        <w:t xml:space="preserve"> on </w:t>
      </w:r>
      <w:r w:rsidR="005F76BE">
        <w:rPr>
          <w:rFonts w:ascii="Arial" w:hAnsi="Arial"/>
          <w:sz w:val="24"/>
          <w:szCs w:val="24"/>
        </w:rPr>
        <w:t>BWP</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F9B6AB3" w14:textId="1FAFD84B" w:rsidR="00E4038C" w:rsidRDefault="00403223" w:rsidP="00E4038C">
      <w:pPr>
        <w:pStyle w:val="Heading1"/>
        <w:textAlignment w:val="auto"/>
      </w:pPr>
      <w:r>
        <w:t>Overview</w:t>
      </w:r>
    </w:p>
    <w:p w14:paraId="41570371" w14:textId="066675AB" w:rsidR="007429CA" w:rsidRDefault="00142FBC" w:rsidP="00E4038C">
      <w:pPr>
        <w:spacing w:after="120"/>
      </w:pPr>
      <w:r>
        <w:t xml:space="preserve">In this contribution, </w:t>
      </w:r>
      <w:r w:rsidR="0038040A">
        <w:t xml:space="preserve">we will </w:t>
      </w:r>
      <w:r w:rsidR="00D00096">
        <w:t xml:space="preserve">discuss </w:t>
      </w:r>
      <w:r>
        <w:t xml:space="preserve">some of the </w:t>
      </w:r>
      <w:r w:rsidR="00D00096">
        <w:t xml:space="preserve">remaining </w:t>
      </w:r>
      <w:r>
        <w:t>issues on BWP.</w:t>
      </w:r>
      <w:r w:rsidR="002F1D03">
        <w:t xml:space="preserve"> </w:t>
      </w:r>
      <w:r w:rsidR="00EC2DC2">
        <w:t xml:space="preserve">One remaining major issue is DCI signaling design for active BWP switching. </w:t>
      </w:r>
      <w:r w:rsidR="009902F6">
        <w:t xml:space="preserve">Also, BWP transition rules and QCL assumptions during BWP switch are discussed. Finally, UE feature for BWP adaptation option types is discussed. Section </w:t>
      </w:r>
      <w:r w:rsidR="009902F6">
        <w:fldChar w:fldCharType="begin"/>
      </w:r>
      <w:r w:rsidR="009902F6">
        <w:instrText xml:space="preserve"> REF _Ref506306571 \r \h </w:instrText>
      </w:r>
      <w:r w:rsidR="009902F6">
        <w:fldChar w:fldCharType="separate"/>
      </w:r>
      <w:r w:rsidR="006240DB">
        <w:t>5.1</w:t>
      </w:r>
      <w:r w:rsidR="009902F6">
        <w:fldChar w:fldCharType="end"/>
      </w:r>
      <w:r w:rsidR="009902F6">
        <w:t xml:space="preserve"> is from resubmission of </w:t>
      </w:r>
      <w:r w:rsidR="009902F6" w:rsidRPr="009902F6">
        <w:t>R1-1802844</w:t>
      </w:r>
      <w:r w:rsidR="009902F6">
        <w:t xml:space="preserve"> and is in the Appendix for reference only.</w:t>
      </w:r>
      <w:r w:rsidR="009902F6" w:rsidDel="009902F6">
        <w:t xml:space="preserve"> </w:t>
      </w:r>
    </w:p>
    <w:p w14:paraId="5830124C" w14:textId="77777777" w:rsidR="00EC2DC2" w:rsidRDefault="00EC2DC2" w:rsidP="00E4038C">
      <w:pPr>
        <w:spacing w:after="120"/>
      </w:pPr>
    </w:p>
    <w:p w14:paraId="76A886CE" w14:textId="422CAAEC" w:rsidR="00B14994" w:rsidRPr="00FE650C" w:rsidRDefault="00D021B4" w:rsidP="00B14994">
      <w:pPr>
        <w:pStyle w:val="Heading1"/>
      </w:pPr>
      <w:r>
        <w:t>Discussion</w:t>
      </w:r>
    </w:p>
    <w:p w14:paraId="0107EFF5" w14:textId="3B026A07" w:rsidR="001437FC" w:rsidRDefault="001437FC" w:rsidP="006A5F67">
      <w:pPr>
        <w:pStyle w:val="Heading2"/>
      </w:pPr>
      <w:bookmarkStart w:id="2" w:name="_Ref506512084"/>
      <w:r>
        <w:t>DCI Signaling Design for Active BWP Switch</w:t>
      </w:r>
      <w:r w:rsidR="005F66F7">
        <w:t>ing</w:t>
      </w:r>
      <w:bookmarkEnd w:id="2"/>
    </w:p>
    <w:p w14:paraId="6B2A0F30" w14:textId="6502E761" w:rsidR="006A5F67" w:rsidRDefault="006A5F67" w:rsidP="006A5F67">
      <w:pPr>
        <w:pStyle w:val="Heading3"/>
      </w:pPr>
      <w:r>
        <w:t>Background</w:t>
      </w:r>
    </w:p>
    <w:p w14:paraId="7A984C60" w14:textId="1CE47263" w:rsidR="00C4014D" w:rsidRDefault="00C4014D" w:rsidP="00C4014D">
      <w:r>
        <w:t xml:space="preserve">In RAN1 #89, the following agreement was made </w:t>
      </w:r>
      <w:r>
        <w:fldChar w:fldCharType="begin"/>
      </w:r>
      <w:r>
        <w:instrText xml:space="preserve"> REF _Ref506485413 \r \h </w:instrText>
      </w:r>
      <w:r>
        <w:fldChar w:fldCharType="separate"/>
      </w:r>
      <w:r w:rsidR="006240DB">
        <w:t>[1]</w:t>
      </w:r>
      <w:r>
        <w:fldChar w:fldCharType="end"/>
      </w:r>
      <w:r>
        <w:t>, which impl</w:t>
      </w:r>
      <w:r w:rsidR="008467CC">
        <w:t>ies</w:t>
      </w:r>
      <w:r>
        <w:t xml:space="preserve"> that active BWP switching </w:t>
      </w:r>
      <w:r w:rsidR="003D60E2">
        <w:t>triggered by</w:t>
      </w:r>
      <w:r>
        <w:t xml:space="preserve"> cross-BWP scheduling:</w:t>
      </w:r>
    </w:p>
    <w:p w14:paraId="3FB700CD" w14:textId="77777777" w:rsidR="00C4014D" w:rsidRPr="00C4014D" w:rsidRDefault="00C4014D" w:rsidP="001575A7">
      <w:pPr>
        <w:numPr>
          <w:ilvl w:val="0"/>
          <w:numId w:val="15"/>
        </w:numPr>
        <w:overflowPunct/>
        <w:autoSpaceDE/>
        <w:autoSpaceDN/>
        <w:adjustRightInd/>
        <w:spacing w:after="0"/>
        <w:textAlignment w:val="auto"/>
        <w:rPr>
          <w:rFonts w:eastAsia="MS Mincho"/>
          <w:lang w:eastAsia="ja-JP"/>
        </w:rPr>
      </w:pPr>
      <w:r w:rsidRPr="00C4014D">
        <w:rPr>
          <w:rFonts w:eastAsia="MS Mincho"/>
          <w:lang w:eastAsia="ja-JP"/>
        </w:rPr>
        <w:t xml:space="preserve">In case of one active DL BWP for a given time instant, </w:t>
      </w:r>
    </w:p>
    <w:p w14:paraId="6AA6911C" w14:textId="77777777" w:rsidR="00C4014D" w:rsidRPr="00C4014D" w:rsidRDefault="00C4014D" w:rsidP="001575A7">
      <w:pPr>
        <w:numPr>
          <w:ilvl w:val="1"/>
          <w:numId w:val="15"/>
        </w:numPr>
        <w:overflowPunct/>
        <w:autoSpaceDE/>
        <w:autoSpaceDN/>
        <w:adjustRightInd/>
        <w:spacing w:after="0"/>
        <w:textAlignment w:val="auto"/>
        <w:rPr>
          <w:rFonts w:eastAsia="MS Mincho"/>
          <w:lang w:eastAsia="ja-JP"/>
        </w:rPr>
      </w:pPr>
      <w:r w:rsidRPr="00C4014D">
        <w:rPr>
          <w:rFonts w:eastAsia="MS Mincho"/>
          <w:lang w:eastAsia="ja-JP"/>
        </w:rPr>
        <w:t xml:space="preserve">A UE can assume that PDSCH and </w:t>
      </w:r>
      <w:r w:rsidRPr="00C4014D">
        <w:rPr>
          <w:rFonts w:eastAsia="MS Mincho"/>
          <w:highlight w:val="yellow"/>
          <w:lang w:eastAsia="ja-JP"/>
        </w:rPr>
        <w:t>corresponding PDCCH (PDCCH carrying scheduling assignment for the PDSCH)</w:t>
      </w:r>
      <w:r w:rsidRPr="00C4014D">
        <w:rPr>
          <w:rFonts w:eastAsia="MS Mincho"/>
          <w:lang w:eastAsia="ja-JP"/>
        </w:rPr>
        <w:t xml:space="preserve"> are transmitted within the same BWP if PDSCH transmission starts no later than K symbols after the end of the PDCCH transmission.</w:t>
      </w:r>
    </w:p>
    <w:p w14:paraId="1319DACE" w14:textId="77777777" w:rsidR="00C4014D" w:rsidRPr="00C4014D" w:rsidRDefault="00C4014D" w:rsidP="001575A7">
      <w:pPr>
        <w:numPr>
          <w:ilvl w:val="1"/>
          <w:numId w:val="15"/>
        </w:numPr>
        <w:overflowPunct/>
        <w:autoSpaceDE/>
        <w:autoSpaceDN/>
        <w:adjustRightInd/>
        <w:spacing w:after="0"/>
        <w:textAlignment w:val="auto"/>
        <w:rPr>
          <w:rFonts w:eastAsia="MS Mincho"/>
          <w:lang w:eastAsia="ja-JP"/>
        </w:rPr>
      </w:pPr>
      <w:r w:rsidRPr="00C4014D">
        <w:rPr>
          <w:rFonts w:eastAsia="MS Mincho"/>
          <w:lang w:eastAsia="ja-JP"/>
        </w:rPr>
        <w:t xml:space="preserve">In case of PDSCH transmission starting more than K symbols after the end of the </w:t>
      </w:r>
      <w:r w:rsidRPr="00C4014D">
        <w:rPr>
          <w:rFonts w:eastAsia="MS Mincho"/>
          <w:highlight w:val="yellow"/>
          <w:lang w:eastAsia="ja-JP"/>
        </w:rPr>
        <w:t>corresponding PDCCH, PDCCH and PDSCH may be transmitted in different BWPs</w:t>
      </w:r>
    </w:p>
    <w:p w14:paraId="5D3FFB4B" w14:textId="77777777" w:rsidR="00C4014D" w:rsidRDefault="00C4014D" w:rsidP="005F66F7">
      <w:pPr>
        <w:rPr>
          <w:lang w:val="en-GB"/>
        </w:rPr>
      </w:pPr>
    </w:p>
    <w:p w14:paraId="799E4E90" w14:textId="732F42DD" w:rsidR="005F66F7" w:rsidRDefault="005F66F7" w:rsidP="005F66F7">
      <w:pPr>
        <w:rPr>
          <w:lang w:val="en-GB"/>
        </w:rPr>
      </w:pPr>
      <w:r>
        <w:rPr>
          <w:lang w:val="en-GB"/>
        </w:rPr>
        <w:t xml:space="preserve">In RAN1 NR AH#3, the following agreement was made </w:t>
      </w:r>
      <w:r>
        <w:rPr>
          <w:lang w:val="en-GB"/>
        </w:rPr>
        <w:fldChar w:fldCharType="begin"/>
      </w:r>
      <w:r>
        <w:rPr>
          <w:lang w:val="en-GB"/>
        </w:rPr>
        <w:instrText xml:space="preserve"> REF _Ref494542387 \r \h </w:instrText>
      </w:r>
      <w:r>
        <w:rPr>
          <w:lang w:val="en-GB"/>
        </w:rPr>
      </w:r>
      <w:r>
        <w:rPr>
          <w:lang w:val="en-GB"/>
        </w:rPr>
        <w:fldChar w:fldCharType="separate"/>
      </w:r>
      <w:r w:rsidR="006240DB">
        <w:rPr>
          <w:lang w:val="en-GB"/>
        </w:rPr>
        <w:t>[2]</w:t>
      </w:r>
      <w:r>
        <w:rPr>
          <w:lang w:val="en-GB"/>
        </w:rPr>
        <w:fldChar w:fldCharType="end"/>
      </w:r>
      <w:r>
        <w:rPr>
          <w:lang w:val="en-GB"/>
        </w:rPr>
        <w:t>:</w:t>
      </w:r>
    </w:p>
    <w:p w14:paraId="4938E7BE" w14:textId="77777777" w:rsidR="005F66F7" w:rsidRDefault="005F66F7" w:rsidP="005F66F7">
      <w:pPr>
        <w:numPr>
          <w:ilvl w:val="0"/>
          <w:numId w:val="5"/>
        </w:numPr>
        <w:tabs>
          <w:tab w:val="left" w:pos="720"/>
        </w:tabs>
        <w:overflowPunct/>
        <w:autoSpaceDE/>
        <w:autoSpaceDN/>
        <w:adjustRightInd/>
        <w:spacing w:after="0"/>
        <w:textAlignment w:val="auto"/>
      </w:pPr>
      <w:r w:rsidRPr="00F44E32">
        <w:t>NR supports the case that a single scheduling DCI can switch the UE’s active BWP from one to another (of the same link direction) within a given serving cell</w:t>
      </w:r>
    </w:p>
    <w:p w14:paraId="271F4090" w14:textId="77777777" w:rsidR="005F66F7" w:rsidRDefault="005F66F7" w:rsidP="005F66F7">
      <w:pPr>
        <w:numPr>
          <w:ilvl w:val="1"/>
          <w:numId w:val="5"/>
        </w:numPr>
        <w:tabs>
          <w:tab w:val="left" w:pos="720"/>
        </w:tabs>
        <w:overflowPunct/>
        <w:autoSpaceDE/>
        <w:autoSpaceDN/>
        <w:adjustRightInd/>
        <w:spacing w:after="0"/>
        <w:textAlignment w:val="auto"/>
      </w:pPr>
      <w:r w:rsidRPr="005F66F7">
        <w:rPr>
          <w:lang w:eastAsia="zh-TW"/>
        </w:rPr>
        <w:t>FFS whether &amp; how for active BWP switching only without scheduling</w:t>
      </w:r>
      <w:r w:rsidRPr="00F44E32">
        <w:rPr>
          <w:lang w:eastAsia="zh-TW"/>
        </w:rPr>
        <w:t xml:space="preserve"> (including the case of UL scheduling without UL-SCH)</w:t>
      </w:r>
    </w:p>
    <w:p w14:paraId="4A47E86E" w14:textId="2775705A" w:rsidR="001437FC" w:rsidRDefault="001437FC" w:rsidP="001437FC">
      <w:pPr>
        <w:rPr>
          <w:lang w:val="en-GB"/>
        </w:rPr>
      </w:pPr>
    </w:p>
    <w:p w14:paraId="2D987DC9" w14:textId="618EA5AC" w:rsidR="001437FC" w:rsidRDefault="005F66F7" w:rsidP="001437FC">
      <w:pPr>
        <w:rPr>
          <w:lang w:val="en-GB"/>
        </w:rPr>
      </w:pPr>
      <w:r>
        <w:rPr>
          <w:lang w:val="en-GB"/>
        </w:rPr>
        <w:t xml:space="preserve">Since then, </w:t>
      </w:r>
      <w:r w:rsidR="00D05C5C">
        <w:rPr>
          <w:lang w:val="en-GB"/>
        </w:rPr>
        <w:t xml:space="preserve">the focus of discussion had been on the design of </w:t>
      </w:r>
      <w:r>
        <w:rPr>
          <w:lang w:val="en-GB"/>
        </w:rPr>
        <w:t>baseline DCI format</w:t>
      </w:r>
      <w:r w:rsidR="00A113B9">
        <w:rPr>
          <w:lang w:val="en-GB"/>
        </w:rPr>
        <w:t>s</w:t>
      </w:r>
      <w:r>
        <w:rPr>
          <w:lang w:val="en-GB"/>
        </w:rPr>
        <w:t xml:space="preserve"> and contents </w:t>
      </w:r>
      <w:r w:rsidR="00D05C5C">
        <w:rPr>
          <w:lang w:val="en-GB"/>
        </w:rPr>
        <w:t xml:space="preserve">until </w:t>
      </w:r>
      <w:r>
        <w:rPr>
          <w:lang w:val="en-GB"/>
        </w:rPr>
        <w:t xml:space="preserve">RAN1 #91, and the </w:t>
      </w:r>
      <w:r w:rsidR="009B167D">
        <w:rPr>
          <w:lang w:val="en-GB"/>
        </w:rPr>
        <w:t xml:space="preserve">baseline DCI </w:t>
      </w:r>
      <w:r>
        <w:rPr>
          <w:lang w:val="en-GB"/>
        </w:rPr>
        <w:t xml:space="preserve">design </w:t>
      </w:r>
      <w:r w:rsidR="00EF5605">
        <w:rPr>
          <w:lang w:val="en-GB"/>
        </w:rPr>
        <w:t>was completed</w:t>
      </w:r>
      <w:r>
        <w:rPr>
          <w:lang w:val="en-GB"/>
        </w:rPr>
        <w:t xml:space="preserve"> </w:t>
      </w:r>
      <w:r w:rsidR="002D6A23">
        <w:rPr>
          <w:lang w:val="en-GB"/>
        </w:rPr>
        <w:t xml:space="preserve">for </w:t>
      </w:r>
      <w:r>
        <w:rPr>
          <w:lang w:val="en-GB"/>
        </w:rPr>
        <w:t xml:space="preserve">the December release of the NR specification. </w:t>
      </w:r>
      <w:r w:rsidR="001437FC">
        <w:rPr>
          <w:lang w:val="en-GB"/>
        </w:rPr>
        <w:t xml:space="preserve">In </w:t>
      </w:r>
      <w:r>
        <w:rPr>
          <w:lang w:val="en-GB"/>
        </w:rPr>
        <w:t xml:space="preserve">the following meeting, </w:t>
      </w:r>
      <w:r w:rsidR="001437FC">
        <w:rPr>
          <w:lang w:val="en-GB"/>
        </w:rPr>
        <w:t xml:space="preserve">RAN1 NR AH1801, </w:t>
      </w:r>
      <w:r>
        <w:rPr>
          <w:lang w:val="en-GB"/>
        </w:rPr>
        <w:t xml:space="preserve">extensive discussion took place on the details of DCI </w:t>
      </w:r>
      <w:r w:rsidR="00A113B9">
        <w:rPr>
          <w:lang w:val="en-GB"/>
        </w:rPr>
        <w:t>signalling design for active BWP switching. During offline discussion, the following alternative had been considered</w:t>
      </w:r>
      <w:r w:rsidR="009871C2">
        <w:rPr>
          <w:lang w:val="en-GB"/>
        </w:rPr>
        <w:t xml:space="preserve"> for final down-selection</w:t>
      </w:r>
      <w:r w:rsidR="00A113B9">
        <w:rPr>
          <w:lang w:val="en-GB"/>
        </w:rPr>
        <w:t xml:space="preserve"> </w:t>
      </w:r>
      <w:r w:rsidR="00A113B9">
        <w:rPr>
          <w:lang w:val="en-GB"/>
        </w:rPr>
        <w:fldChar w:fldCharType="begin"/>
      </w:r>
      <w:r w:rsidR="00A113B9">
        <w:rPr>
          <w:lang w:val="en-GB"/>
        </w:rPr>
        <w:instrText xml:space="preserve"> REF _Ref506295683 \r \h </w:instrText>
      </w:r>
      <w:r w:rsidR="00A113B9">
        <w:rPr>
          <w:lang w:val="en-GB"/>
        </w:rPr>
      </w:r>
      <w:r w:rsidR="00A113B9">
        <w:rPr>
          <w:lang w:val="en-GB"/>
        </w:rPr>
        <w:fldChar w:fldCharType="separate"/>
      </w:r>
      <w:r w:rsidR="006240DB">
        <w:rPr>
          <w:lang w:val="en-GB"/>
        </w:rPr>
        <w:t>[5]</w:t>
      </w:r>
      <w:r w:rsidR="00A113B9">
        <w:rPr>
          <w:lang w:val="en-GB"/>
        </w:rPr>
        <w:fldChar w:fldCharType="end"/>
      </w:r>
      <w:r w:rsidR="00A113B9">
        <w:rPr>
          <w:lang w:val="en-GB"/>
        </w:rPr>
        <w:t>:</w:t>
      </w:r>
    </w:p>
    <w:p w14:paraId="235A4350" w14:textId="77777777" w:rsidR="00A113B9" w:rsidRDefault="00A113B9" w:rsidP="001575A7">
      <w:pPr>
        <w:pStyle w:val="BodyText"/>
        <w:numPr>
          <w:ilvl w:val="0"/>
          <w:numId w:val="13"/>
        </w:numPr>
        <w:overflowPunct/>
        <w:autoSpaceDE/>
        <w:autoSpaceDN/>
        <w:adjustRightInd/>
        <w:textAlignment w:val="auto"/>
      </w:pPr>
      <w:r>
        <w:t>Option 1</w:t>
      </w:r>
    </w:p>
    <w:p w14:paraId="58D52715" w14:textId="77777777" w:rsidR="00A113B9" w:rsidRDefault="00A113B9" w:rsidP="001575A7">
      <w:pPr>
        <w:pStyle w:val="BodyText"/>
        <w:numPr>
          <w:ilvl w:val="1"/>
          <w:numId w:val="13"/>
        </w:numPr>
        <w:overflowPunct/>
        <w:autoSpaceDE/>
        <w:autoSpaceDN/>
        <w:adjustRightInd/>
        <w:textAlignment w:val="auto"/>
      </w:pPr>
      <w:r>
        <w:t xml:space="preserve">DCI information relates to </w:t>
      </w:r>
      <w:r>
        <w:rPr>
          <w:i/>
        </w:rPr>
        <w:t xml:space="preserve">current </w:t>
      </w:r>
      <w:r>
        <w:t>BWP. DCI size determined by current BWP. PDSCH is received in current slot (or later slot in case of cross-slot scheduling)</w:t>
      </w:r>
    </w:p>
    <w:p w14:paraId="0449345D" w14:textId="77777777" w:rsidR="00A113B9" w:rsidRDefault="00A113B9" w:rsidP="001575A7">
      <w:pPr>
        <w:pStyle w:val="BodyText"/>
        <w:numPr>
          <w:ilvl w:val="1"/>
          <w:numId w:val="13"/>
        </w:numPr>
        <w:overflowPunct/>
        <w:autoSpaceDE/>
        <w:autoSpaceDN/>
        <w:adjustRightInd/>
        <w:textAlignment w:val="auto"/>
      </w:pPr>
      <w:r>
        <w:t>If BWP index differs from current BWP, then a new BWP is activated X us later (X depends on the BWP transition latency and possibly K0)</w:t>
      </w:r>
    </w:p>
    <w:p w14:paraId="076A7E33" w14:textId="77777777" w:rsidR="00A113B9" w:rsidRDefault="00A113B9" w:rsidP="001575A7">
      <w:pPr>
        <w:pStyle w:val="BodyText"/>
        <w:numPr>
          <w:ilvl w:val="2"/>
          <w:numId w:val="13"/>
        </w:numPr>
        <w:overflowPunct/>
        <w:autoSpaceDE/>
        <w:autoSpaceDN/>
        <w:adjustRightInd/>
        <w:textAlignment w:val="auto"/>
      </w:pPr>
      <w:r>
        <w:t>A future DCI in the new BWP can schedule data using the new BWP</w:t>
      </w:r>
    </w:p>
    <w:p w14:paraId="1B7816AA" w14:textId="77777777" w:rsidR="00A113B9" w:rsidRDefault="00A113B9" w:rsidP="001575A7">
      <w:pPr>
        <w:pStyle w:val="BodyText"/>
        <w:numPr>
          <w:ilvl w:val="0"/>
          <w:numId w:val="13"/>
        </w:numPr>
        <w:overflowPunct/>
        <w:autoSpaceDE/>
        <w:autoSpaceDN/>
        <w:adjustRightInd/>
        <w:textAlignment w:val="auto"/>
      </w:pPr>
      <w:r>
        <w:t>Option 3b</w:t>
      </w:r>
    </w:p>
    <w:p w14:paraId="690A2AB5" w14:textId="77777777" w:rsidR="00A113B9" w:rsidRDefault="00A113B9" w:rsidP="001575A7">
      <w:pPr>
        <w:pStyle w:val="BodyText"/>
        <w:numPr>
          <w:ilvl w:val="1"/>
          <w:numId w:val="13"/>
        </w:numPr>
        <w:overflowPunct/>
        <w:autoSpaceDE/>
        <w:autoSpaceDN/>
        <w:adjustRightInd/>
        <w:textAlignment w:val="auto"/>
      </w:pPr>
      <w:r>
        <w:lastRenderedPageBreak/>
        <w:t>Sizes of all DCI bitfields determined by current BWP. Data transmitted on the BWP indicated by the BWP index. If the BWP index activates another BWP, transform as follows:</w:t>
      </w:r>
    </w:p>
    <w:p w14:paraId="46154F60" w14:textId="77777777" w:rsidR="00A113B9" w:rsidRDefault="00A113B9" w:rsidP="001575A7">
      <w:pPr>
        <w:pStyle w:val="BodyText"/>
        <w:numPr>
          <w:ilvl w:val="2"/>
          <w:numId w:val="13"/>
        </w:numPr>
        <w:overflowPunct/>
        <w:autoSpaceDE/>
        <w:autoSpaceDN/>
        <w:adjustRightInd/>
        <w:textAlignment w:val="auto"/>
      </w:pPr>
      <w:r>
        <w:t>Zero-pad too small bitfields to match the new BWP</w:t>
      </w:r>
    </w:p>
    <w:p w14:paraId="3A92E5C0" w14:textId="77777777" w:rsidR="00A113B9" w:rsidRDefault="00A113B9" w:rsidP="001575A7">
      <w:pPr>
        <w:pStyle w:val="BodyText"/>
        <w:numPr>
          <w:ilvl w:val="2"/>
          <w:numId w:val="13"/>
        </w:numPr>
        <w:overflowPunct/>
        <w:autoSpaceDE/>
        <w:autoSpaceDN/>
        <w:adjustRightInd/>
        <w:textAlignment w:val="auto"/>
      </w:pPr>
      <w:r>
        <w:t>Truncate too large bitfields to match the new BWP</w:t>
      </w:r>
    </w:p>
    <w:p w14:paraId="3084C25B" w14:textId="77777777" w:rsidR="00A113B9" w:rsidRDefault="00A113B9" w:rsidP="001575A7">
      <w:pPr>
        <w:pStyle w:val="BodyText"/>
        <w:numPr>
          <w:ilvl w:val="0"/>
          <w:numId w:val="13"/>
        </w:numPr>
        <w:overflowPunct/>
        <w:autoSpaceDE/>
        <w:autoSpaceDN/>
        <w:adjustRightInd/>
        <w:textAlignment w:val="auto"/>
      </w:pPr>
      <w:r>
        <w:t>Option 3c</w:t>
      </w:r>
    </w:p>
    <w:p w14:paraId="198CC01A" w14:textId="3F54BCE0" w:rsidR="00A113B9" w:rsidRPr="00901E1F" w:rsidRDefault="00901E1F" w:rsidP="001575A7">
      <w:pPr>
        <w:pStyle w:val="BodyText"/>
        <w:numPr>
          <w:ilvl w:val="1"/>
          <w:numId w:val="13"/>
        </w:numPr>
        <w:overflowPunct/>
        <w:autoSpaceDE/>
        <w:autoSpaceDN/>
        <w:adjustRightInd/>
        <w:textAlignment w:val="auto"/>
        <w:rPr>
          <w:i/>
        </w:rPr>
      </w:pPr>
      <w:r w:rsidRPr="00901E1F">
        <w:rPr>
          <w:i/>
        </w:rPr>
        <w:t>(Same as Option 3b except with the following note added)</w:t>
      </w:r>
    </w:p>
    <w:p w14:paraId="47B262BD" w14:textId="77777777" w:rsidR="00A113B9" w:rsidRDefault="00A113B9" w:rsidP="001575A7">
      <w:pPr>
        <w:pStyle w:val="BodyText"/>
        <w:numPr>
          <w:ilvl w:val="1"/>
          <w:numId w:val="13"/>
        </w:numPr>
        <w:overflowPunct/>
        <w:autoSpaceDE/>
        <w:autoSpaceDN/>
        <w:adjustRightInd/>
        <w:textAlignment w:val="auto"/>
      </w:pPr>
      <w:r>
        <w:t>Note: It is assumed that it is possible to switch BWP without scheduling data, e.g.  by scheduling using a null assignment</w:t>
      </w:r>
    </w:p>
    <w:p w14:paraId="2182B677" w14:textId="77777777" w:rsidR="00A113B9" w:rsidRDefault="00A113B9" w:rsidP="001575A7">
      <w:pPr>
        <w:pStyle w:val="BodyText"/>
        <w:numPr>
          <w:ilvl w:val="0"/>
          <w:numId w:val="13"/>
        </w:numPr>
        <w:overflowPunct/>
        <w:autoSpaceDE/>
        <w:autoSpaceDN/>
        <w:adjustRightInd/>
        <w:textAlignment w:val="auto"/>
      </w:pPr>
      <w:r>
        <w:t>Option 4</w:t>
      </w:r>
    </w:p>
    <w:p w14:paraId="2E9EC9D9" w14:textId="77777777" w:rsidR="00A113B9" w:rsidRDefault="00A113B9" w:rsidP="001575A7">
      <w:pPr>
        <w:pStyle w:val="BodyText"/>
        <w:numPr>
          <w:ilvl w:val="1"/>
          <w:numId w:val="13"/>
        </w:numPr>
        <w:overflowPunct/>
        <w:autoSpaceDE/>
        <w:autoSpaceDN/>
        <w:adjustRightInd/>
        <w:textAlignment w:val="auto"/>
      </w:pPr>
      <w:r>
        <w:t>If the UE is supposed to switch BWP no payload is scheduled</w:t>
      </w:r>
    </w:p>
    <w:p w14:paraId="1C84F688" w14:textId="0BB621CC" w:rsidR="00A113B9" w:rsidRDefault="00A113B9" w:rsidP="001437FC">
      <w:pPr>
        <w:rPr>
          <w:lang w:val="en-GB"/>
        </w:rPr>
      </w:pPr>
    </w:p>
    <w:p w14:paraId="653B3ACA" w14:textId="3A191326" w:rsidR="00A113B9" w:rsidRDefault="00A113B9" w:rsidP="001437FC">
      <w:pPr>
        <w:rPr>
          <w:lang w:val="en-GB"/>
        </w:rPr>
      </w:pPr>
      <w:r>
        <w:rPr>
          <w:lang w:val="en-GB"/>
        </w:rPr>
        <w:t xml:space="preserve">During online discussion, Option 3b </w:t>
      </w:r>
      <w:r w:rsidR="00D05C5C">
        <w:rPr>
          <w:lang w:val="en-GB"/>
        </w:rPr>
        <w:t xml:space="preserve">was selected to be </w:t>
      </w:r>
      <w:r>
        <w:rPr>
          <w:lang w:val="en-GB"/>
        </w:rPr>
        <w:t>the working assumption</w:t>
      </w:r>
      <w:r w:rsidR="006A5F67">
        <w:rPr>
          <w:lang w:val="en-GB"/>
        </w:rPr>
        <w:t xml:space="preserve"> </w:t>
      </w:r>
      <w:r w:rsidR="006A5F67">
        <w:rPr>
          <w:lang w:val="en-GB"/>
        </w:rPr>
        <w:fldChar w:fldCharType="begin"/>
      </w:r>
      <w:r w:rsidR="006A5F67">
        <w:rPr>
          <w:lang w:val="en-GB"/>
        </w:rPr>
        <w:instrText xml:space="preserve"> REF _Ref506295816 \r \h </w:instrText>
      </w:r>
      <w:r w:rsidR="006A5F67">
        <w:rPr>
          <w:lang w:val="en-GB"/>
        </w:rPr>
      </w:r>
      <w:r w:rsidR="006A5F67">
        <w:rPr>
          <w:lang w:val="en-GB"/>
        </w:rPr>
        <w:fldChar w:fldCharType="separate"/>
      </w:r>
      <w:r w:rsidR="006240DB">
        <w:rPr>
          <w:lang w:val="en-GB"/>
        </w:rPr>
        <w:t>[6]</w:t>
      </w:r>
      <w:r w:rsidR="006A5F67">
        <w:rPr>
          <w:lang w:val="en-GB"/>
        </w:rPr>
        <w:fldChar w:fldCharType="end"/>
      </w:r>
      <w:r w:rsidR="006A5F67">
        <w:rPr>
          <w:lang w:val="en-GB"/>
        </w:rPr>
        <w:t xml:space="preserve">, and companies were encouraged to find out if there are </w:t>
      </w:r>
      <w:r w:rsidR="00901E1F">
        <w:rPr>
          <w:lang w:val="en-GB"/>
        </w:rPr>
        <w:t xml:space="preserve">any </w:t>
      </w:r>
      <w:r w:rsidR="006A5F67">
        <w:rPr>
          <w:lang w:val="en-GB"/>
        </w:rPr>
        <w:t>serious issues, especially with the application of the DCI field transformation rules.</w:t>
      </w:r>
    </w:p>
    <w:p w14:paraId="3DC5430B" w14:textId="77777777" w:rsidR="005F767B" w:rsidRDefault="005F767B" w:rsidP="001437FC">
      <w:pPr>
        <w:rPr>
          <w:lang w:val="en-GB"/>
        </w:rPr>
      </w:pPr>
    </w:p>
    <w:p w14:paraId="358E16FB" w14:textId="0BB8FBAC" w:rsidR="000B6536" w:rsidRDefault="000B6536" w:rsidP="006A5F67">
      <w:pPr>
        <w:pStyle w:val="Heading3"/>
      </w:pPr>
      <w:r>
        <w:t xml:space="preserve">Assessment of the </w:t>
      </w:r>
      <w:r w:rsidR="00945D3C">
        <w:t xml:space="preserve">Design </w:t>
      </w:r>
      <w:r>
        <w:t>Options</w:t>
      </w:r>
    </w:p>
    <w:p w14:paraId="0CE4CFEA" w14:textId="64454F3B" w:rsidR="00C4014D" w:rsidRDefault="00C4014D" w:rsidP="00990164">
      <w:pPr>
        <w:rPr>
          <w:lang w:val="en-GB"/>
        </w:rPr>
      </w:pPr>
      <w:r>
        <w:rPr>
          <w:lang w:val="en-GB"/>
        </w:rPr>
        <w:t>The working assumption has not been revised during RAN1 #92.</w:t>
      </w:r>
    </w:p>
    <w:p w14:paraId="44FFBADA" w14:textId="7F3AF59C" w:rsidR="00A43858" w:rsidRDefault="00C4014D" w:rsidP="00990164">
      <w:pPr>
        <w:rPr>
          <w:lang w:val="en-GB"/>
        </w:rPr>
      </w:pPr>
      <w:r>
        <w:rPr>
          <w:lang w:val="en-GB"/>
        </w:rPr>
        <w:t xml:space="preserve">In </w:t>
      </w:r>
      <w:r w:rsidR="007D7E90">
        <w:rPr>
          <w:lang w:val="en-GB"/>
        </w:rPr>
        <w:t xml:space="preserve">our contribution for last meeting, </w:t>
      </w:r>
      <w:r w:rsidR="005347C7">
        <w:rPr>
          <w:lang w:val="en-GB"/>
        </w:rPr>
        <w:t xml:space="preserve">the options proposed and discussed during offline discussion were analysed </w:t>
      </w:r>
      <w:r w:rsidR="005347C7">
        <w:rPr>
          <w:lang w:val="en-GB"/>
        </w:rPr>
        <w:fldChar w:fldCharType="begin"/>
      </w:r>
      <w:r w:rsidR="005347C7">
        <w:rPr>
          <w:lang w:val="en-GB"/>
        </w:rPr>
        <w:instrText xml:space="preserve"> REF _Ref510276323 \r \h </w:instrText>
      </w:r>
      <w:r w:rsidR="005347C7">
        <w:rPr>
          <w:lang w:val="en-GB"/>
        </w:rPr>
      </w:r>
      <w:r w:rsidR="005347C7">
        <w:rPr>
          <w:lang w:val="en-GB"/>
        </w:rPr>
        <w:fldChar w:fldCharType="separate"/>
      </w:r>
      <w:r w:rsidR="006240DB">
        <w:rPr>
          <w:lang w:val="en-GB"/>
        </w:rPr>
        <w:t>[7]</w:t>
      </w:r>
      <w:r w:rsidR="005347C7">
        <w:rPr>
          <w:lang w:val="en-GB"/>
        </w:rPr>
        <w:fldChar w:fldCharType="end"/>
      </w:r>
      <w:r w:rsidR="005347C7">
        <w:rPr>
          <w:lang w:val="en-GB"/>
        </w:rPr>
        <w:t xml:space="preserve">. </w:t>
      </w:r>
      <w:r w:rsidR="00A43858">
        <w:rPr>
          <w:lang w:val="en-GB"/>
        </w:rPr>
        <w:t>The main tradeoffs could be summarized in the table below:</w:t>
      </w:r>
    </w:p>
    <w:tbl>
      <w:tblPr>
        <w:tblW w:w="0" w:type="auto"/>
        <w:tblCellMar>
          <w:left w:w="0" w:type="dxa"/>
          <w:right w:w="0" w:type="dxa"/>
        </w:tblCellMar>
        <w:tblLook w:val="04A0" w:firstRow="1" w:lastRow="0" w:firstColumn="1" w:lastColumn="0" w:noHBand="0" w:noVBand="1"/>
      </w:tblPr>
      <w:tblGrid>
        <w:gridCol w:w="1254"/>
        <w:gridCol w:w="3870"/>
        <w:gridCol w:w="4226"/>
      </w:tblGrid>
      <w:tr w:rsidR="00A43858" w14:paraId="0DF98A2D" w14:textId="77777777" w:rsidTr="00A43858">
        <w:tc>
          <w:tcPr>
            <w:tcW w:w="12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1EA37" w14:textId="77777777" w:rsidR="00A43858" w:rsidRDefault="00A43858"/>
        </w:tc>
        <w:tc>
          <w:tcPr>
            <w:tcW w:w="3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30F41" w14:textId="77777777" w:rsidR="00A43858" w:rsidRDefault="00A43858">
            <w:r>
              <w:t>Pros</w:t>
            </w:r>
          </w:p>
        </w:tc>
        <w:tc>
          <w:tcPr>
            <w:tcW w:w="4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D1132" w14:textId="77777777" w:rsidR="00A43858" w:rsidRDefault="00A43858">
            <w:r>
              <w:t>Cons</w:t>
            </w:r>
          </w:p>
        </w:tc>
      </w:tr>
      <w:tr w:rsidR="00A43858" w14:paraId="67795162" w14:textId="77777777" w:rsidTr="00A43858">
        <w:tc>
          <w:tcPr>
            <w:tcW w:w="1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6A01D" w14:textId="77777777" w:rsidR="00A43858" w:rsidRDefault="00A43858">
            <w:r>
              <w:t>Option 1</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7FA9421C" w14:textId="77777777" w:rsidR="00A43858" w:rsidRDefault="00A43858">
            <w:r>
              <w:t>- No DCI field size mismatch issue</w:t>
            </w:r>
          </w:p>
          <w:p w14:paraId="1B5A3A9D" w14:textId="77777777" w:rsidR="00A43858" w:rsidRDefault="00A43858">
            <w:r>
              <w:t>- Payload efficient: Indication of BWP switch piggybacks on a scheduling DCI</w:t>
            </w:r>
          </w:p>
        </w:tc>
        <w:tc>
          <w:tcPr>
            <w:tcW w:w="4226" w:type="dxa"/>
            <w:tcBorders>
              <w:top w:val="nil"/>
              <w:left w:val="nil"/>
              <w:bottom w:val="single" w:sz="8" w:space="0" w:color="auto"/>
              <w:right w:val="single" w:sz="8" w:space="0" w:color="auto"/>
            </w:tcBorders>
            <w:tcMar>
              <w:top w:w="0" w:type="dxa"/>
              <w:left w:w="108" w:type="dxa"/>
              <w:bottom w:w="0" w:type="dxa"/>
              <w:right w:w="108" w:type="dxa"/>
            </w:tcMar>
            <w:hideMark/>
          </w:tcPr>
          <w:p w14:paraId="6F87580C" w14:textId="77777777" w:rsidR="00A43858" w:rsidRDefault="00A43858">
            <w:r>
              <w:t>- Requires NW to schedule in current BWP in order to switch active BWP</w:t>
            </w:r>
          </w:p>
          <w:p w14:paraId="45A509E4" w14:textId="65F992D7" w:rsidR="009839C8" w:rsidRDefault="00A43858">
            <w:r>
              <w:t>- Overall latency for BWP switching can be worse</w:t>
            </w:r>
          </w:p>
        </w:tc>
      </w:tr>
      <w:tr w:rsidR="00A43858" w14:paraId="61B679DA" w14:textId="77777777" w:rsidTr="00A43858">
        <w:tc>
          <w:tcPr>
            <w:tcW w:w="1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40979" w14:textId="3409488E" w:rsidR="00A43858" w:rsidRDefault="00A43858">
            <w:r>
              <w:t>Option 3b (working assumption)</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4B5C3DE0" w14:textId="77777777" w:rsidR="00A43858" w:rsidRDefault="00A43858">
            <w:r>
              <w:t>- NW can activate another BWP without scheduling data in the current BWP</w:t>
            </w:r>
          </w:p>
          <w:p w14:paraId="2493E750" w14:textId="5865AD54" w:rsidR="00A43858" w:rsidRDefault="00A43858">
            <w:r>
              <w:t>- Payload efficient: Single DCI for scheduling and BWP switch indication</w:t>
            </w:r>
          </w:p>
        </w:tc>
        <w:tc>
          <w:tcPr>
            <w:tcW w:w="4226" w:type="dxa"/>
            <w:tcBorders>
              <w:top w:val="nil"/>
              <w:left w:val="nil"/>
              <w:bottom w:val="single" w:sz="8" w:space="0" w:color="auto"/>
              <w:right w:val="single" w:sz="8" w:space="0" w:color="auto"/>
            </w:tcBorders>
            <w:tcMar>
              <w:top w:w="0" w:type="dxa"/>
              <w:left w:w="108" w:type="dxa"/>
              <w:bottom w:w="0" w:type="dxa"/>
              <w:right w:w="108" w:type="dxa"/>
            </w:tcMar>
            <w:hideMark/>
          </w:tcPr>
          <w:p w14:paraId="591DA7AD" w14:textId="77777777" w:rsidR="00A43858" w:rsidRDefault="00A43858">
            <w:r>
              <w:t>- DCI field transformation may impose scheduling restrictions and increase complexity</w:t>
            </w:r>
          </w:p>
        </w:tc>
      </w:tr>
      <w:tr w:rsidR="00A43858" w14:paraId="2BF5C1AA" w14:textId="77777777" w:rsidTr="00A43858">
        <w:tc>
          <w:tcPr>
            <w:tcW w:w="1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D9084" w14:textId="77777777" w:rsidR="00A43858" w:rsidRDefault="00A43858">
            <w:r>
              <w:t>Option 3c</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764DD624" w14:textId="77777777" w:rsidR="00A43858" w:rsidRDefault="00A43858">
            <w:r>
              <w:t>- Same as Option 3b</w:t>
            </w:r>
          </w:p>
          <w:p w14:paraId="231D1A24" w14:textId="77777777" w:rsidR="00A43858" w:rsidRDefault="00A43858">
            <w:r>
              <w:t xml:space="preserve">- Flexibility to support null assignment in case of issues with transformation </w:t>
            </w:r>
          </w:p>
        </w:tc>
        <w:tc>
          <w:tcPr>
            <w:tcW w:w="4226" w:type="dxa"/>
            <w:tcBorders>
              <w:top w:val="nil"/>
              <w:left w:val="nil"/>
              <w:bottom w:val="single" w:sz="8" w:space="0" w:color="auto"/>
              <w:right w:val="single" w:sz="8" w:space="0" w:color="auto"/>
            </w:tcBorders>
            <w:tcMar>
              <w:top w:w="0" w:type="dxa"/>
              <w:left w:w="108" w:type="dxa"/>
              <w:bottom w:w="0" w:type="dxa"/>
              <w:right w:w="108" w:type="dxa"/>
            </w:tcMar>
            <w:hideMark/>
          </w:tcPr>
          <w:p w14:paraId="2E80A2AF" w14:textId="2F084567" w:rsidR="00A43858" w:rsidRDefault="00A43858">
            <w:r>
              <w:t>- Null-assignment takes up control resources</w:t>
            </w:r>
          </w:p>
          <w:p w14:paraId="198F5D2A" w14:textId="77777777" w:rsidR="00A43858" w:rsidRDefault="00A43858">
            <w:r>
              <w:t>- In case of UL grant /w null assignment, NW has no confirmation UE has received it</w:t>
            </w:r>
          </w:p>
        </w:tc>
      </w:tr>
      <w:tr w:rsidR="00A43858" w14:paraId="4C377D18" w14:textId="77777777" w:rsidTr="00A43858">
        <w:tc>
          <w:tcPr>
            <w:tcW w:w="1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37373" w14:textId="77777777" w:rsidR="00A43858" w:rsidRDefault="00A43858">
            <w:r>
              <w:t>Option 4</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1B40AA58" w14:textId="77777777" w:rsidR="00A43858" w:rsidRDefault="00A43858">
            <w:r>
              <w:t>- Overall BWP transition latency is similar to Option 3b</w:t>
            </w:r>
          </w:p>
          <w:p w14:paraId="1AD3A1DA" w14:textId="77777777" w:rsidR="00A43858" w:rsidRDefault="00A43858">
            <w:r>
              <w:t>- Avoid issues associated with DCI field transformation</w:t>
            </w:r>
          </w:p>
        </w:tc>
        <w:tc>
          <w:tcPr>
            <w:tcW w:w="4226" w:type="dxa"/>
            <w:tcBorders>
              <w:top w:val="nil"/>
              <w:left w:val="nil"/>
              <w:bottom w:val="single" w:sz="8" w:space="0" w:color="auto"/>
              <w:right w:val="single" w:sz="8" w:space="0" w:color="auto"/>
            </w:tcBorders>
            <w:tcMar>
              <w:top w:w="0" w:type="dxa"/>
              <w:left w:w="108" w:type="dxa"/>
              <w:bottom w:w="0" w:type="dxa"/>
              <w:right w:w="108" w:type="dxa"/>
            </w:tcMar>
            <w:hideMark/>
          </w:tcPr>
          <w:p w14:paraId="43F4DE4B" w14:textId="77777777" w:rsidR="00A43858" w:rsidRDefault="00A43858">
            <w:r>
              <w:t>- Similar to those of Option 3c (if implemented similar to null assignment)</w:t>
            </w:r>
          </w:p>
          <w:p w14:paraId="2400C2A2" w14:textId="77777777" w:rsidR="00A43858" w:rsidRDefault="00A43858">
            <w:r>
              <w:t>- No support for scheduling &amp; BWP switching with a single DCI</w:t>
            </w:r>
          </w:p>
        </w:tc>
      </w:tr>
    </w:tbl>
    <w:p w14:paraId="79E80CA6" w14:textId="77777777" w:rsidR="00A43858" w:rsidRDefault="00A43858" w:rsidP="00990164">
      <w:pPr>
        <w:rPr>
          <w:lang w:val="en-GB"/>
        </w:rPr>
      </w:pPr>
    </w:p>
    <w:p w14:paraId="469C34E4" w14:textId="2DB29010" w:rsidR="00C4014D" w:rsidRDefault="005347C7" w:rsidP="00990164">
      <w:pPr>
        <w:rPr>
          <w:lang w:val="en-GB"/>
        </w:rPr>
      </w:pPr>
      <w:r>
        <w:rPr>
          <w:lang w:val="en-GB"/>
        </w:rPr>
        <w:t>In this contribution, we will focus on the issues associated with the working assumption (Option 3b) and make recommendations for how to resolve the</w:t>
      </w:r>
      <w:r w:rsidR="00256A28">
        <w:rPr>
          <w:lang w:val="en-GB"/>
        </w:rPr>
        <w:t>m</w:t>
      </w:r>
      <w:r>
        <w:rPr>
          <w:lang w:val="en-GB"/>
        </w:rPr>
        <w:t>.</w:t>
      </w:r>
    </w:p>
    <w:p w14:paraId="7FA59B2A" w14:textId="243751E4" w:rsidR="00DB1312" w:rsidRDefault="00DB1312" w:rsidP="00F95E8C"/>
    <w:p w14:paraId="794D5EDB" w14:textId="68897F5F" w:rsidR="00550351" w:rsidRDefault="003956E2" w:rsidP="00550351">
      <w:pPr>
        <w:pStyle w:val="Heading4"/>
      </w:pPr>
      <w:r>
        <w:t>Working Assumption</w:t>
      </w:r>
      <w:r w:rsidR="00E770DA">
        <w:t xml:space="preserve"> (Option 3b)</w:t>
      </w:r>
    </w:p>
    <w:p w14:paraId="08B0DF7D" w14:textId="01F9AC73" w:rsidR="00A94A33" w:rsidRPr="005C0932" w:rsidRDefault="001D2298" w:rsidP="00A94A33">
      <w:pPr>
        <w:rPr>
          <w:b/>
          <w:u w:val="single"/>
        </w:rPr>
      </w:pPr>
      <w:r>
        <w:rPr>
          <w:b/>
          <w:u w:val="single"/>
        </w:rPr>
        <w:t>Main Benefits</w:t>
      </w:r>
      <w:r w:rsidR="00A94A33" w:rsidRPr="005C0932">
        <w:rPr>
          <w:b/>
          <w:u w:val="single"/>
        </w:rPr>
        <w:t>:</w:t>
      </w:r>
    </w:p>
    <w:p w14:paraId="40505590" w14:textId="2076420B" w:rsidR="00A94A33" w:rsidRDefault="00A94A33" w:rsidP="001575A7">
      <w:pPr>
        <w:pStyle w:val="ListParagraph"/>
        <w:numPr>
          <w:ilvl w:val="0"/>
          <w:numId w:val="15"/>
        </w:numPr>
      </w:pPr>
      <w:r>
        <w:t>NW can activate another BWP without scheduling data in the current BWP</w:t>
      </w:r>
    </w:p>
    <w:p w14:paraId="10E78B50" w14:textId="56F60D2B" w:rsidR="00A94A33" w:rsidRDefault="001B5A34" w:rsidP="001575A7">
      <w:pPr>
        <w:pStyle w:val="ListParagraph"/>
        <w:numPr>
          <w:ilvl w:val="0"/>
          <w:numId w:val="15"/>
        </w:numPr>
      </w:pPr>
      <w:r>
        <w:t>Single DCI for scheduling and BWP switch indication; No additional DL control resource is required</w:t>
      </w:r>
    </w:p>
    <w:p w14:paraId="45E079E1" w14:textId="2653DE81" w:rsidR="00990164" w:rsidRDefault="00990164" w:rsidP="001575A7">
      <w:pPr>
        <w:pStyle w:val="ListParagraph"/>
        <w:numPr>
          <w:ilvl w:val="0"/>
          <w:numId w:val="15"/>
        </w:numPr>
      </w:pPr>
      <w:r>
        <w:t>Overall BWP transition latency (from PDCCH reception that triggers BWP switching, to BWP transition complete) can be quantized to slot, potentially supporting lowest best case end-to-end delay</w:t>
      </w:r>
    </w:p>
    <w:p w14:paraId="6E0DDCBD" w14:textId="5E659BEE" w:rsidR="00990164" w:rsidRDefault="00990164" w:rsidP="001575A7">
      <w:pPr>
        <w:pStyle w:val="ListParagraph"/>
        <w:numPr>
          <w:ilvl w:val="1"/>
          <w:numId w:val="15"/>
        </w:numPr>
      </w:pPr>
      <w:r>
        <w:t>Compared to a scheme where some of the intermediate stages of BWP transition have to be individually slot-quantized</w:t>
      </w:r>
    </w:p>
    <w:p w14:paraId="40D4B07B" w14:textId="51FD846B" w:rsidR="00A94A33" w:rsidRPr="005C0932" w:rsidRDefault="00990164" w:rsidP="00E50B5F">
      <w:pPr>
        <w:rPr>
          <w:b/>
          <w:u w:val="single"/>
        </w:rPr>
      </w:pPr>
      <w:r w:rsidRPr="005C0932">
        <w:rPr>
          <w:b/>
          <w:u w:val="single"/>
        </w:rPr>
        <w:t>Potential Issues:</w:t>
      </w:r>
    </w:p>
    <w:p w14:paraId="2B3EF387" w14:textId="01C14C5B" w:rsidR="00990164" w:rsidRDefault="00F65D7D" w:rsidP="001575A7">
      <w:pPr>
        <w:pStyle w:val="ListParagraph"/>
        <w:numPr>
          <w:ilvl w:val="0"/>
          <w:numId w:val="16"/>
        </w:numPr>
      </w:pPr>
      <w:r>
        <w:t>DCI field transformation may impose scheduling restrictions</w:t>
      </w:r>
      <w:r w:rsidR="00E26D15">
        <w:t xml:space="preserve"> and increase complexity</w:t>
      </w:r>
    </w:p>
    <w:p w14:paraId="3D39D7F9" w14:textId="030DDE11" w:rsidR="00F5248D" w:rsidRDefault="00EC75F6" w:rsidP="001575A7">
      <w:pPr>
        <w:pStyle w:val="ListParagraph"/>
        <w:numPr>
          <w:ilvl w:val="1"/>
          <w:numId w:val="16"/>
        </w:numPr>
      </w:pPr>
      <w:r>
        <w:t>For the same DCI field, t</w:t>
      </w:r>
      <w:r w:rsidR="00F5248D">
        <w:t xml:space="preserve">ransforming </w:t>
      </w:r>
      <w:r w:rsidR="007C7367">
        <w:t xml:space="preserve">the content </w:t>
      </w:r>
      <w:r>
        <w:t xml:space="preserve">from a </w:t>
      </w:r>
      <w:r w:rsidR="000C067B">
        <w:t xml:space="preserve">given </w:t>
      </w:r>
      <w:r w:rsidR="00F5248D">
        <w:t xml:space="preserve">field </w:t>
      </w:r>
      <w:r>
        <w:t xml:space="preserve">size </w:t>
      </w:r>
      <w:r w:rsidR="00F5248D">
        <w:t xml:space="preserve">to </w:t>
      </w:r>
      <w:r>
        <w:t>a smaller required field size</w:t>
      </w:r>
      <w:r w:rsidR="00F5248D">
        <w:t xml:space="preserve"> </w:t>
      </w:r>
      <w:r w:rsidR="007726F2">
        <w:t xml:space="preserve">can </w:t>
      </w:r>
      <w:r w:rsidR="00F5248D">
        <w:t xml:space="preserve">always </w:t>
      </w:r>
      <w:r w:rsidR="007726F2">
        <w:t xml:space="preserve">be made to </w:t>
      </w:r>
      <w:r w:rsidR="00F5248D">
        <w:t>work</w:t>
      </w:r>
    </w:p>
    <w:p w14:paraId="1CF285B9" w14:textId="604EBD65" w:rsidR="00F5248D" w:rsidRDefault="00F65D7D" w:rsidP="001575A7">
      <w:pPr>
        <w:pStyle w:val="ListParagraph"/>
        <w:numPr>
          <w:ilvl w:val="2"/>
          <w:numId w:val="16"/>
        </w:numPr>
      </w:pPr>
      <w:r>
        <w:t xml:space="preserve">From UE’s perspective, transforming a DCI field with more number of bits to a DCI field with fewer number of bits </w:t>
      </w:r>
      <w:r w:rsidR="00F5248D">
        <w:t xml:space="preserve">sized for </w:t>
      </w:r>
      <w:r>
        <w:t>the new BWP</w:t>
      </w:r>
      <w:r w:rsidR="00F5248D">
        <w:t xml:space="preserve"> is always okay. NW should take the responsibility to ensure that when truncation rule is applied, the truncated bits </w:t>
      </w:r>
      <w:r w:rsidR="002D6A23">
        <w:t>do not contain useful information</w:t>
      </w:r>
      <w:r w:rsidR="00F5248D">
        <w:t>.</w:t>
      </w:r>
    </w:p>
    <w:p w14:paraId="0A87C99D" w14:textId="038CDC2D" w:rsidR="00F5248D" w:rsidRDefault="006E3EA2" w:rsidP="001575A7">
      <w:pPr>
        <w:pStyle w:val="ListParagraph"/>
        <w:numPr>
          <w:ilvl w:val="2"/>
          <w:numId w:val="16"/>
        </w:numPr>
      </w:pPr>
      <w:r>
        <w:t>E</w:t>
      </w:r>
      <w:r w:rsidR="00F5248D">
        <w:t>xtra error checking when applying truncation</w:t>
      </w:r>
      <w:r>
        <w:t xml:space="preserve"> is feasible; See proposal below.</w:t>
      </w:r>
    </w:p>
    <w:p w14:paraId="7E2A1E16" w14:textId="72A29395" w:rsidR="00EC75F6" w:rsidRDefault="00EC75F6" w:rsidP="001575A7">
      <w:pPr>
        <w:pStyle w:val="ListParagraph"/>
        <w:numPr>
          <w:ilvl w:val="1"/>
          <w:numId w:val="16"/>
        </w:numPr>
      </w:pPr>
      <w:r>
        <w:t xml:space="preserve">For the same DCI field, transforming </w:t>
      </w:r>
      <w:r w:rsidR="007C7367">
        <w:t xml:space="preserve">the content </w:t>
      </w:r>
      <w:r>
        <w:t xml:space="preserve">from a </w:t>
      </w:r>
      <w:r w:rsidR="000C067B">
        <w:t>given f</w:t>
      </w:r>
      <w:r>
        <w:t xml:space="preserve">ield size to a larger required field size may </w:t>
      </w:r>
      <w:r w:rsidR="00D17E93">
        <w:t>have issues</w:t>
      </w:r>
    </w:p>
    <w:p w14:paraId="7DED0519" w14:textId="14C520A4" w:rsidR="00F5248D" w:rsidRDefault="0053533A" w:rsidP="001575A7">
      <w:pPr>
        <w:pStyle w:val="ListParagraph"/>
        <w:numPr>
          <w:ilvl w:val="2"/>
          <w:numId w:val="16"/>
        </w:numPr>
      </w:pPr>
      <w:r>
        <w:t xml:space="preserve">Please see Section </w:t>
      </w:r>
      <w:r>
        <w:fldChar w:fldCharType="begin"/>
      </w:r>
      <w:r>
        <w:instrText xml:space="preserve"> REF _Ref506306571 \r \h </w:instrText>
      </w:r>
      <w:r>
        <w:fldChar w:fldCharType="separate"/>
      </w:r>
      <w:r w:rsidR="006240DB">
        <w:t>5.1</w:t>
      </w:r>
      <w:r>
        <w:fldChar w:fldCharType="end"/>
      </w:r>
      <w:r>
        <w:t xml:space="preserve"> for detail discussion</w:t>
      </w:r>
    </w:p>
    <w:p w14:paraId="60AE2C7A" w14:textId="77777777" w:rsidR="00657498" w:rsidRDefault="00657498" w:rsidP="001437FC">
      <w:pPr>
        <w:rPr>
          <w:lang w:val="en-GB"/>
        </w:rPr>
      </w:pPr>
    </w:p>
    <w:p w14:paraId="4F76848E" w14:textId="689CB61A" w:rsidR="008802A9" w:rsidRDefault="008802A9" w:rsidP="00B018BC">
      <w:pPr>
        <w:pStyle w:val="Heading3"/>
      </w:pPr>
      <w:bookmarkStart w:id="3" w:name="_Ref506507851"/>
      <w:r>
        <w:t>Frequency-Domain Resource Assignment</w:t>
      </w:r>
    </w:p>
    <w:p w14:paraId="5F02F0EA" w14:textId="1C64AB9E" w:rsidR="008802A9" w:rsidRDefault="0097109D" w:rsidP="008802A9">
      <w:pPr>
        <w:rPr>
          <w:lang w:val="en-GB"/>
        </w:rPr>
      </w:pPr>
      <w:r>
        <w:rPr>
          <w:lang w:val="en-GB"/>
        </w:rPr>
        <w:t>Mismatch in the f</w:t>
      </w:r>
      <w:r w:rsidR="00A7054E">
        <w:rPr>
          <w:lang w:val="en-GB"/>
        </w:rPr>
        <w:t>requency-domain resource assignment field size can aris</w:t>
      </w:r>
      <w:r w:rsidR="00C01B83">
        <w:rPr>
          <w:lang w:val="en-GB"/>
        </w:rPr>
        <w:t xml:space="preserve">e </w:t>
      </w:r>
      <w:r w:rsidR="00181AB0">
        <w:rPr>
          <w:lang w:val="en-GB"/>
        </w:rPr>
        <w:t>during</w:t>
      </w:r>
      <w:r w:rsidR="00C01B83">
        <w:rPr>
          <w:lang w:val="en-GB"/>
        </w:rPr>
        <w:t xml:space="preserve"> cross-BWP scheduling, i.e., when the DCI field size is determined based on the current BWP, but the BWP </w:t>
      </w:r>
      <w:r w:rsidR="00C0465D">
        <w:rPr>
          <w:lang w:val="en-GB"/>
        </w:rPr>
        <w:t>indicator</w:t>
      </w:r>
      <w:r w:rsidR="00C01B83">
        <w:rPr>
          <w:lang w:val="en-GB"/>
        </w:rPr>
        <w:t xml:space="preserve"> </w:t>
      </w:r>
      <w:r w:rsidR="0067333F">
        <w:rPr>
          <w:lang w:val="en-GB"/>
        </w:rPr>
        <w:t xml:space="preserve">field </w:t>
      </w:r>
      <w:r w:rsidR="00C01B83">
        <w:rPr>
          <w:lang w:val="en-GB"/>
        </w:rPr>
        <w:t>indicates that a new BWP is to be activated and the scheduling information applies to the new BWP</w:t>
      </w:r>
      <w:r w:rsidR="00E363CF">
        <w:rPr>
          <w:lang w:val="en-GB"/>
        </w:rPr>
        <w:t>, and the current BWP and the new BWP have different bandwidth.</w:t>
      </w:r>
    </w:p>
    <w:p w14:paraId="5087A8D5" w14:textId="3D734D22" w:rsidR="00E363CF" w:rsidRDefault="00E363CF" w:rsidP="008802A9">
      <w:pPr>
        <w:rPr>
          <w:lang w:val="en-GB"/>
        </w:rPr>
      </w:pPr>
      <w:r>
        <w:rPr>
          <w:lang w:val="en-GB"/>
        </w:rPr>
        <w:t xml:space="preserve">In case of Type 0 resource allocation, the working assumption’s transformation rule </w:t>
      </w:r>
      <w:r w:rsidR="00181AB0">
        <w:rPr>
          <w:lang w:val="en-GB"/>
        </w:rPr>
        <w:t>can be applied in a straight-forward manner</w:t>
      </w:r>
      <w:r>
        <w:rPr>
          <w:lang w:val="en-GB"/>
        </w:rPr>
        <w:t xml:space="preserve">. </w:t>
      </w:r>
      <w:r w:rsidR="00181AB0">
        <w:rPr>
          <w:lang w:val="en-GB"/>
        </w:rPr>
        <w:t>The</w:t>
      </w:r>
      <w:r>
        <w:rPr>
          <w:lang w:val="en-GB"/>
        </w:rPr>
        <w:t xml:space="preserve"> extent of bitfield size mismatch should be </w:t>
      </w:r>
      <w:r w:rsidR="00C020B4">
        <w:rPr>
          <w:lang w:val="en-GB"/>
        </w:rPr>
        <w:t>less compared to Type 1 allocation</w:t>
      </w:r>
      <w:r>
        <w:rPr>
          <w:lang w:val="en-GB"/>
        </w:rPr>
        <w:t xml:space="preserve"> </w:t>
      </w:r>
      <w:r w:rsidR="00C020B4">
        <w:rPr>
          <w:lang w:val="en-GB"/>
        </w:rPr>
        <w:t xml:space="preserve">because </w:t>
      </w:r>
      <w:r>
        <w:rPr>
          <w:lang w:val="en-GB"/>
        </w:rPr>
        <w:t xml:space="preserve">RBG size </w:t>
      </w:r>
      <w:r w:rsidR="00C020B4">
        <w:rPr>
          <w:lang w:val="en-GB"/>
        </w:rPr>
        <w:t xml:space="preserve">adapts </w:t>
      </w:r>
      <w:r>
        <w:rPr>
          <w:lang w:val="en-GB"/>
        </w:rPr>
        <w:t xml:space="preserve">to bandwidth. </w:t>
      </w:r>
      <w:r w:rsidR="00D63A38">
        <w:rPr>
          <w:lang w:val="en-GB"/>
        </w:rPr>
        <w:t xml:space="preserve">For example, for Type 0 resource allocation, 17 bits is needed to allocate up to 270 RBs, and 13 bits is needed to allocate up to 25 RBs. The difference is only 4 bits, compared to 7 bits for Type 1 resource allocation. </w:t>
      </w:r>
      <w:r w:rsidR="00181AB0">
        <w:rPr>
          <w:lang w:val="en-GB"/>
        </w:rPr>
        <w:t>Also,</w:t>
      </w:r>
      <w:r>
        <w:rPr>
          <w:lang w:val="en-GB"/>
        </w:rPr>
        <w:t xml:space="preserve"> </w:t>
      </w:r>
      <w:r w:rsidR="00BD7578">
        <w:rPr>
          <w:lang w:val="en-GB"/>
        </w:rPr>
        <w:t xml:space="preserve">Type 0 resource allocation bitfield is essentially a bit-mask, with each bit indicating whether the corresponding RBG is assigned or not. Zero-padding or truncation of the bitfield </w:t>
      </w:r>
      <w:r w:rsidR="00181AB0">
        <w:rPr>
          <w:lang w:val="en-GB"/>
        </w:rPr>
        <w:t>may lead to some scheduling restrictions but not too severe</w:t>
      </w:r>
      <w:r w:rsidR="00BD7578">
        <w:rPr>
          <w:lang w:val="en-GB"/>
        </w:rPr>
        <w:t>.</w:t>
      </w:r>
    </w:p>
    <w:p w14:paraId="08AD93FD" w14:textId="18028EA9" w:rsidR="00CC6B1F" w:rsidRDefault="00BD7578" w:rsidP="000A7B18">
      <w:r>
        <w:rPr>
          <w:lang w:val="en-GB"/>
        </w:rPr>
        <w:t xml:space="preserve">In case of Type 1 resource allocation, </w:t>
      </w:r>
      <w:r w:rsidR="00CC6B1F">
        <w:rPr>
          <w:lang w:val="en-GB"/>
        </w:rPr>
        <w:t xml:space="preserve">straight-forward application of the zero-padding or truncation rule onto the RIV may lead to </w:t>
      </w:r>
      <w:r w:rsidR="00F92185">
        <w:rPr>
          <w:lang w:val="en-GB"/>
        </w:rPr>
        <w:t>undesirable</w:t>
      </w:r>
      <w:r w:rsidR="00CC6B1F">
        <w:rPr>
          <w:lang w:val="en-GB"/>
        </w:rPr>
        <w:t xml:space="preserve"> </w:t>
      </w:r>
      <w:r w:rsidR="00F92185">
        <w:rPr>
          <w:lang w:val="en-GB"/>
        </w:rPr>
        <w:t xml:space="preserve">scheduling </w:t>
      </w:r>
      <w:r w:rsidR="00CC6B1F">
        <w:rPr>
          <w:lang w:val="en-GB"/>
        </w:rPr>
        <w:t>result. There can be severe limitations on the number of PRBs that can be scheduled in the new BWP.</w:t>
      </w:r>
      <w:r w:rsidR="000A7B18" w:rsidRPr="00274E57">
        <w:t xml:space="preserve"> This issue has also been discussed in great detail</w:t>
      </w:r>
      <w:r w:rsidR="000A7B18" w:rsidRPr="000A7B18">
        <w:rPr>
          <w:u w:val="single"/>
        </w:rPr>
        <w:t xml:space="preserve"> </w:t>
      </w:r>
      <w:r w:rsidR="0097109D">
        <w:t xml:space="preserve">in </w:t>
      </w:r>
      <w:r w:rsidR="0097109D">
        <w:fldChar w:fldCharType="begin"/>
      </w:r>
      <w:r w:rsidR="0097109D">
        <w:instrText xml:space="preserve"> REF _Ref510329242 \r \h </w:instrText>
      </w:r>
      <w:r w:rsidR="0097109D">
        <w:fldChar w:fldCharType="separate"/>
      </w:r>
      <w:r w:rsidR="006240DB">
        <w:t>[8]</w:t>
      </w:r>
      <w:r w:rsidR="0097109D">
        <w:fldChar w:fldCharType="end"/>
      </w:r>
      <w:r w:rsidR="0097109D">
        <w:t>.</w:t>
      </w:r>
      <w:r w:rsidR="00953415">
        <w:t xml:space="preserve"> During offline discussion in RAN1 #92, the following consensus has been </w:t>
      </w:r>
      <w:r w:rsidR="00825247">
        <w:t>submitted</w:t>
      </w:r>
      <w:r w:rsidR="000D0CC6">
        <w:t xml:space="preserve"> in</w:t>
      </w:r>
      <w:r w:rsidR="00953415">
        <w:t xml:space="preserve"> </w:t>
      </w:r>
      <w:r w:rsidR="00953415">
        <w:fldChar w:fldCharType="begin"/>
      </w:r>
      <w:r w:rsidR="00953415">
        <w:instrText xml:space="preserve"> REF _Ref510341113 \r \h </w:instrText>
      </w:r>
      <w:r w:rsidR="00953415">
        <w:fldChar w:fldCharType="separate"/>
      </w:r>
      <w:r w:rsidR="006240DB">
        <w:t>[9]</w:t>
      </w:r>
      <w:r w:rsidR="00953415">
        <w:fldChar w:fldCharType="end"/>
      </w:r>
      <w:r w:rsidR="00953415">
        <w:t>:</w:t>
      </w:r>
    </w:p>
    <w:p w14:paraId="15B33465" w14:textId="77777777" w:rsidR="00953415" w:rsidRPr="00C75211" w:rsidRDefault="00953415" w:rsidP="00953415">
      <w:pPr>
        <w:pStyle w:val="BodyText"/>
        <w:ind w:left="288"/>
      </w:pPr>
      <w:r>
        <w:t xml:space="preserve">Conclusion: </w:t>
      </w:r>
      <w:r w:rsidRPr="00C75211">
        <w:t>Resou</w:t>
      </w:r>
      <w:r>
        <w:t>r</w:t>
      </w:r>
      <w:r w:rsidRPr="00C75211">
        <w:t>ce allocation type 0 works</w:t>
      </w:r>
      <w:r>
        <w:t xml:space="preserve"> with padding/truncation, at least when only resource allocation type 0 is configured. </w:t>
      </w:r>
    </w:p>
    <w:p w14:paraId="16EDC1AA" w14:textId="77777777" w:rsidR="00953415" w:rsidRDefault="00953415" w:rsidP="00953415">
      <w:pPr>
        <w:pStyle w:val="BodyText"/>
        <w:ind w:left="288"/>
      </w:pPr>
      <w:r>
        <w:t xml:space="preserve">FFS: </w:t>
      </w:r>
      <w:r w:rsidRPr="00274E57">
        <w:rPr>
          <w:highlight w:val="yellow"/>
        </w:rPr>
        <w:t>Need to correct resource allocation type 1</w:t>
      </w:r>
      <w:r>
        <w:t>. One possibility is to use the same mechanism as anyway needed by the DCI size format 0-0/1-0.</w:t>
      </w:r>
    </w:p>
    <w:p w14:paraId="7F8B150B" w14:textId="77777777" w:rsidR="00953415" w:rsidRDefault="00953415" w:rsidP="00CC6B1F"/>
    <w:p w14:paraId="7DEDAB9B" w14:textId="52448D0A" w:rsidR="00CC6B1F" w:rsidRDefault="00CC6B1F" w:rsidP="00CC6B1F">
      <w:pPr>
        <w:pStyle w:val="Caption"/>
      </w:pPr>
      <w:bookmarkStart w:id="4" w:name="_Toc510816458"/>
      <w:r>
        <w:t xml:space="preserve">Observation </w:t>
      </w:r>
      <w:fldSimple w:instr=" SEQ Observation \* ARABIC ">
        <w:r w:rsidR="006240DB">
          <w:rPr>
            <w:noProof/>
          </w:rPr>
          <w:t>1</w:t>
        </w:r>
      </w:fldSimple>
      <w:r>
        <w:t xml:space="preserve">: </w:t>
      </w:r>
      <w:r w:rsidR="00E34478">
        <w:t xml:space="preserve">For Type 1 allocation, straight-forward </w:t>
      </w:r>
      <w:r>
        <w:t>application of DCI bit-field truncation/zero-padding rule to frequency-domain resource allocation field would result in resource allocation limitation that can be highly undesirable. A special transformation rule should be devised.</w:t>
      </w:r>
      <w:bookmarkEnd w:id="4"/>
    </w:p>
    <w:p w14:paraId="21DD498E" w14:textId="12C38334" w:rsidR="00CC6B1F" w:rsidRDefault="00CC6B1F" w:rsidP="00CC6B1F">
      <w:r>
        <w:t>One subtle modification of the rule is to interpret the zero-padded field content based on the current BWP instead of the new BWP. Then, it is guaranteed that the number of PRBs that the current BWP is sized for can be fully schedulable.</w:t>
      </w:r>
    </w:p>
    <w:p w14:paraId="415B83F5" w14:textId="248C1401" w:rsidR="00CC6B1F" w:rsidRDefault="00CC6B1F" w:rsidP="00CC6B1F">
      <w:pPr>
        <w:pStyle w:val="Caption"/>
      </w:pPr>
      <w:bookmarkStart w:id="5" w:name="_Toc510816459"/>
      <w:r>
        <w:t xml:space="preserve">Proposal </w:t>
      </w:r>
      <w:fldSimple w:instr=" SEQ Proposal \* ARABIC ">
        <w:r w:rsidR="006240DB">
          <w:rPr>
            <w:noProof/>
          </w:rPr>
          <w:t>1</w:t>
        </w:r>
      </w:fldSimple>
      <w:r>
        <w:t xml:space="preserve">: </w:t>
      </w:r>
      <w:r w:rsidR="00E34478">
        <w:t>At least for Type 1 allocation, t</w:t>
      </w:r>
      <w:r>
        <w:t>he frequency-domain resource allocation field in a cross-BWP scheduling DCI is interpreted based on the current BWP. The physical resource block allocation is directly mapped to the new BWP.</w:t>
      </w:r>
      <w:bookmarkEnd w:id="5"/>
    </w:p>
    <w:p w14:paraId="0F99E5AF" w14:textId="20F1EE53" w:rsidR="0097109D" w:rsidRDefault="0097109D" w:rsidP="008802A9">
      <w:pPr>
        <w:rPr>
          <w:lang w:val="en-GB"/>
        </w:rPr>
      </w:pPr>
    </w:p>
    <w:p w14:paraId="7C50BBB8" w14:textId="2F7A9E38" w:rsidR="002E406C" w:rsidRDefault="002E406C" w:rsidP="008802A9">
      <w:pPr>
        <w:rPr>
          <w:lang w:val="en-GB"/>
        </w:rPr>
      </w:pPr>
      <w:r>
        <w:rPr>
          <w:lang w:val="en-GB"/>
        </w:rPr>
        <w:t xml:space="preserve">There are two cases to consider for direct mapping </w:t>
      </w:r>
      <w:r w:rsidR="003A3312">
        <w:rPr>
          <w:lang w:val="en-GB"/>
        </w:rPr>
        <w:t>of PRB allocation to the new BWP</w:t>
      </w:r>
      <w:r>
        <w:rPr>
          <w:lang w:val="en-GB"/>
        </w:rPr>
        <w:t>:</w:t>
      </w:r>
    </w:p>
    <w:p w14:paraId="3FF917FF" w14:textId="3B324B39" w:rsidR="002E406C" w:rsidRDefault="002E406C" w:rsidP="002E406C">
      <w:pPr>
        <w:ind w:left="288"/>
      </w:pPr>
      <w:r>
        <w:t>Case (a): The BWPs are nested in frequency</w:t>
      </w:r>
    </w:p>
    <w:p w14:paraId="094DB8EF" w14:textId="744399AF" w:rsidR="002E406C" w:rsidRDefault="002E406C" w:rsidP="001575A7">
      <w:pPr>
        <w:pStyle w:val="ListParagraph"/>
        <w:numPr>
          <w:ilvl w:val="0"/>
          <w:numId w:val="11"/>
        </w:numPr>
      </w:pPr>
      <w:r>
        <w:t>This means the current BWP’s frequency range is a subset of the new BWP, or the other way around</w:t>
      </w:r>
    </w:p>
    <w:p w14:paraId="606BBA65" w14:textId="3ABCC14B" w:rsidR="002573B3" w:rsidRDefault="002573B3" w:rsidP="001575A7">
      <w:pPr>
        <w:pStyle w:val="ListParagraph"/>
        <w:numPr>
          <w:ilvl w:val="1"/>
          <w:numId w:val="11"/>
        </w:numPr>
      </w:pPr>
      <w:r>
        <w:t>This includes the case for which both BWPs have the same bandwidth and are completely overlapping</w:t>
      </w:r>
    </w:p>
    <w:p w14:paraId="521A68A1" w14:textId="6DCA69E7" w:rsidR="002E406C" w:rsidRDefault="002E406C" w:rsidP="001575A7">
      <w:pPr>
        <w:pStyle w:val="ListParagraph"/>
        <w:numPr>
          <w:ilvl w:val="0"/>
          <w:numId w:val="11"/>
        </w:numPr>
      </w:pPr>
      <w:r>
        <w:t>The RA field would be interpreted based on the current BWP, and PRB allocation (w.r.t. the CC) is then directly mapped to the new BWP</w:t>
      </w:r>
    </w:p>
    <w:p w14:paraId="5A2CBDE8" w14:textId="777249B6" w:rsidR="002E406C" w:rsidRDefault="002E406C" w:rsidP="002E406C">
      <w:pPr>
        <w:ind w:left="288"/>
      </w:pPr>
      <w:r>
        <w:t>Case (b): The BWPs are not nested in frequency</w:t>
      </w:r>
    </w:p>
    <w:p w14:paraId="2FDD208F" w14:textId="61D8594B" w:rsidR="002E406C" w:rsidRDefault="002E406C" w:rsidP="001575A7">
      <w:pPr>
        <w:pStyle w:val="ListParagraph"/>
        <w:numPr>
          <w:ilvl w:val="0"/>
          <w:numId w:val="11"/>
        </w:numPr>
      </w:pPr>
      <w:r>
        <w:t>This means the BWPs are not overlapping in frequency, or only partially overlapping</w:t>
      </w:r>
    </w:p>
    <w:p w14:paraId="017E49D2" w14:textId="5136D548" w:rsidR="002E406C" w:rsidRDefault="002E406C" w:rsidP="001575A7">
      <w:pPr>
        <w:pStyle w:val="ListParagraph"/>
        <w:numPr>
          <w:ilvl w:val="0"/>
          <w:numId w:val="11"/>
        </w:numPr>
      </w:pPr>
      <w:r>
        <w:t>Even if the RA field is interpreted based on the current BWP, it cannot be always applied to the new BWP because the PRB allocation (w.r.t. the CC) may be fully or partially outside the frequency range of the new BWP.</w:t>
      </w:r>
    </w:p>
    <w:p w14:paraId="64E2BD47" w14:textId="77777777" w:rsidR="002E406C" w:rsidRDefault="002E406C" w:rsidP="001575A7">
      <w:pPr>
        <w:pStyle w:val="ListParagraph"/>
        <w:numPr>
          <w:ilvl w:val="0"/>
          <w:numId w:val="11"/>
        </w:numPr>
      </w:pPr>
      <w:r>
        <w:t>Some fixed alignment rule can be specified for this case, and then apply direct mapping of the PRB allocation</w:t>
      </w:r>
    </w:p>
    <w:p w14:paraId="4B18BCA7" w14:textId="77777777" w:rsidR="002E406C" w:rsidRDefault="002E406C" w:rsidP="008802A9">
      <w:pPr>
        <w:rPr>
          <w:lang w:val="en-GB"/>
        </w:rPr>
      </w:pPr>
    </w:p>
    <w:p w14:paraId="235F53EF" w14:textId="093ED508" w:rsidR="00BD7578" w:rsidRDefault="00252E72" w:rsidP="008802A9">
      <w:pPr>
        <w:rPr>
          <w:lang w:val="en-GB"/>
        </w:rPr>
      </w:pPr>
      <w:r>
        <w:rPr>
          <w:lang w:val="en-GB"/>
        </w:rPr>
        <w:t xml:space="preserve">For Case (a), two </w:t>
      </w:r>
      <w:r w:rsidR="004B0FC4">
        <w:rPr>
          <w:lang w:val="en-GB"/>
        </w:rPr>
        <w:t>scenarios</w:t>
      </w:r>
      <w:r>
        <w:rPr>
          <w:lang w:val="en-GB"/>
        </w:rPr>
        <w:t xml:space="preserve"> are illustrated</w:t>
      </w:r>
      <w:r w:rsidR="00181AB0">
        <w:rPr>
          <w:lang w:val="en-GB"/>
        </w:rPr>
        <w:t>:</w:t>
      </w:r>
    </w:p>
    <w:p w14:paraId="72C4C87E" w14:textId="77777777" w:rsidR="00181AB0" w:rsidRDefault="00181AB0" w:rsidP="001575A7">
      <w:pPr>
        <w:pStyle w:val="ListParagraph"/>
        <w:numPr>
          <w:ilvl w:val="0"/>
          <w:numId w:val="12"/>
        </w:numPr>
      </w:pPr>
      <w:r>
        <w:t>Transitioning from a wider BWP to a narrower BWP</w:t>
      </w:r>
    </w:p>
    <w:p w14:paraId="024C9046" w14:textId="77777777" w:rsidR="00181AB0" w:rsidRDefault="00181AB0" w:rsidP="001575A7">
      <w:pPr>
        <w:pStyle w:val="ListParagraph"/>
        <w:numPr>
          <w:ilvl w:val="0"/>
          <w:numId w:val="12"/>
        </w:numPr>
      </w:pPr>
      <w:r>
        <w:t>Transitioning from a narrower BWP to a wider BWP</w:t>
      </w:r>
    </w:p>
    <w:p w14:paraId="3FC8BCE2" w14:textId="6304EAEC" w:rsidR="00181AB0" w:rsidRDefault="00181AB0" w:rsidP="00181AB0">
      <w:pPr>
        <w:rPr>
          <w:lang w:val="en-GB"/>
        </w:rPr>
      </w:pPr>
      <w:r>
        <w:t xml:space="preserve">Above proposal, when applied to </w:t>
      </w:r>
      <w:r w:rsidR="004B0FC4">
        <w:t>Scenario</w:t>
      </w:r>
      <w:r>
        <w:t xml:space="preserve"> (1), i.e. wide-to-narrow-BWP transition, means that it is gNB responsibility to construct the content of the RA such that the PRB allocation (with respect to the component carrier) is not outside of the frequency range of the narrower BWP.</w:t>
      </w:r>
      <w:r w:rsidR="0097109D">
        <w:t xml:space="preserve"> This is applicable to both Type 1 or Type 0 resource allocation.</w:t>
      </w:r>
    </w:p>
    <w:tbl>
      <w:tblPr>
        <w:tblStyle w:val="TableGrid"/>
        <w:tblW w:w="0" w:type="auto"/>
        <w:tblLook w:val="04A0" w:firstRow="1" w:lastRow="0" w:firstColumn="1" w:lastColumn="0" w:noHBand="0" w:noVBand="1"/>
      </w:tblPr>
      <w:tblGrid>
        <w:gridCol w:w="4814"/>
        <w:gridCol w:w="4814"/>
      </w:tblGrid>
      <w:tr w:rsidR="00181AB0" w14:paraId="68F07976" w14:textId="77777777" w:rsidTr="00181AB0">
        <w:trPr>
          <w:cantSplit/>
        </w:trPr>
        <w:tc>
          <w:tcPr>
            <w:tcW w:w="4814" w:type="dxa"/>
          </w:tcPr>
          <w:p w14:paraId="1303055E" w14:textId="77777777" w:rsidR="00181AB0" w:rsidRDefault="00181AB0" w:rsidP="00181AB0">
            <w:r>
              <w:t>Narrow-to-Wide BWP transition (2):</w:t>
            </w:r>
          </w:p>
          <w:p w14:paraId="75F1A3C3" w14:textId="4F332A57" w:rsidR="00181AB0" w:rsidRDefault="00525DF5" w:rsidP="00181AB0">
            <w:r>
              <w:rPr>
                <w:noProof/>
              </w:rPr>
              <w:drawing>
                <wp:inline distT="0" distB="0" distL="0" distR="0" wp14:anchorId="78EC2F2F" wp14:editId="48B2E32B">
                  <wp:extent cx="2578608" cy="1746504"/>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78608" cy="1746504"/>
                          </a:xfrm>
                          <a:prstGeom prst="rect">
                            <a:avLst/>
                          </a:prstGeom>
                        </pic:spPr>
                      </pic:pic>
                    </a:graphicData>
                  </a:graphic>
                </wp:inline>
              </w:drawing>
            </w:r>
          </w:p>
        </w:tc>
        <w:tc>
          <w:tcPr>
            <w:tcW w:w="4814" w:type="dxa"/>
          </w:tcPr>
          <w:p w14:paraId="52246E05" w14:textId="77777777" w:rsidR="00181AB0" w:rsidRDefault="00181AB0" w:rsidP="00181AB0">
            <w:r>
              <w:t>Wide-to-narrow BWP transition (1):</w:t>
            </w:r>
          </w:p>
          <w:p w14:paraId="5A9D8B29" w14:textId="544C30B6" w:rsidR="00181AB0" w:rsidRDefault="00525DF5" w:rsidP="00181AB0">
            <w:r>
              <w:rPr>
                <w:noProof/>
              </w:rPr>
              <w:drawing>
                <wp:inline distT="0" distB="0" distL="0" distR="0" wp14:anchorId="09F5889E" wp14:editId="6CC0EBF3">
                  <wp:extent cx="2423160" cy="1673352"/>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23160" cy="1673352"/>
                          </a:xfrm>
                          <a:prstGeom prst="rect">
                            <a:avLst/>
                          </a:prstGeom>
                        </pic:spPr>
                      </pic:pic>
                    </a:graphicData>
                  </a:graphic>
                </wp:inline>
              </w:drawing>
            </w:r>
          </w:p>
        </w:tc>
      </w:tr>
    </w:tbl>
    <w:p w14:paraId="6C708E57" w14:textId="77777777" w:rsidR="00181AB0" w:rsidRDefault="00181AB0" w:rsidP="00181AB0"/>
    <w:p w14:paraId="67A418F6" w14:textId="32A82166" w:rsidR="008802A9" w:rsidRDefault="001C6D44" w:rsidP="00181AB0">
      <w:r>
        <w:t xml:space="preserve">Nested </w:t>
      </w:r>
      <w:r w:rsidR="00181AB0">
        <w:t xml:space="preserve">BWPs </w:t>
      </w:r>
      <w:r>
        <w:t>is an important use case for power saving. B</w:t>
      </w:r>
      <w:r w:rsidR="00181AB0">
        <w:t xml:space="preserve">asing the interpretation of RA on the current BWP offers a key advantage that the overlapping portion is </w:t>
      </w:r>
      <w:r w:rsidR="000A7B18">
        <w:t xml:space="preserve">fully </w:t>
      </w:r>
      <w:r w:rsidR="00181AB0">
        <w:t>schedulable by the BWP-switch-triggering DCI. Until updated CQI is available for the non-overlapping portion in the new BWP is available, there may not be much incentive to schedule outside of the overlapping portion, especially on the first slot after BWP transition.</w:t>
      </w:r>
    </w:p>
    <w:p w14:paraId="44D745E9" w14:textId="445AC9A1" w:rsidR="00522F53" w:rsidRDefault="00522F53" w:rsidP="0097109D">
      <w:pPr>
        <w:rPr>
          <w:lang w:val="en-GB"/>
        </w:rPr>
      </w:pPr>
      <w:r>
        <w:rPr>
          <w:lang w:val="en-GB"/>
        </w:rPr>
        <w:t>For Case (b)</w:t>
      </w:r>
      <w:r w:rsidR="00904038">
        <w:rPr>
          <w:lang w:val="en-GB"/>
        </w:rPr>
        <w:t xml:space="preserve"> where BWPs are not nested</w:t>
      </w:r>
      <w:r>
        <w:rPr>
          <w:lang w:val="en-GB"/>
        </w:rPr>
        <w:t xml:space="preserve">, </w:t>
      </w:r>
      <w:r w:rsidR="00525DF5">
        <w:rPr>
          <w:lang w:val="en-GB"/>
        </w:rPr>
        <w:t>directly mapping works based on some reference location</w:t>
      </w:r>
      <w:r w:rsidR="008C7386">
        <w:rPr>
          <w:lang w:val="en-GB"/>
        </w:rPr>
        <w:t>;</w:t>
      </w:r>
      <w:r w:rsidR="00525DF5">
        <w:rPr>
          <w:lang w:val="en-GB"/>
        </w:rPr>
        <w:t xml:space="preserve"> </w:t>
      </w:r>
      <w:r w:rsidR="008C7386">
        <w:rPr>
          <w:lang w:val="en-GB"/>
        </w:rPr>
        <w:t>F</w:t>
      </w:r>
      <w:r w:rsidR="00525DF5">
        <w:rPr>
          <w:lang w:val="en-GB"/>
        </w:rPr>
        <w:t xml:space="preserve">or example, the lowest frequency of the BWP, or </w:t>
      </w:r>
      <w:r w:rsidR="00904052">
        <w:rPr>
          <w:lang w:val="en-GB"/>
        </w:rPr>
        <w:t>a predefined</w:t>
      </w:r>
      <w:r w:rsidR="00525DF5">
        <w:rPr>
          <w:lang w:val="en-GB"/>
        </w:rPr>
        <w:t xml:space="preserve"> offset within the new BWP.</w:t>
      </w:r>
    </w:p>
    <w:tbl>
      <w:tblPr>
        <w:tblStyle w:val="TableGrid"/>
        <w:tblW w:w="0" w:type="auto"/>
        <w:tblLook w:val="04A0" w:firstRow="1" w:lastRow="0" w:firstColumn="1" w:lastColumn="0" w:noHBand="0" w:noVBand="1"/>
      </w:tblPr>
      <w:tblGrid>
        <w:gridCol w:w="4855"/>
        <w:gridCol w:w="4773"/>
      </w:tblGrid>
      <w:tr w:rsidR="00525DF5" w14:paraId="1B5971A7" w14:textId="3D30AE77" w:rsidTr="00525DF5">
        <w:tc>
          <w:tcPr>
            <w:tcW w:w="4855" w:type="dxa"/>
          </w:tcPr>
          <w:p w14:paraId="09F872D1" w14:textId="4D4FC0DE" w:rsidR="00525DF5" w:rsidRDefault="00525DF5" w:rsidP="0097109D">
            <w:pPr>
              <w:rPr>
                <w:lang w:val="en-GB"/>
              </w:rPr>
            </w:pPr>
            <w:r>
              <w:rPr>
                <w:noProof/>
              </w:rPr>
              <w:drawing>
                <wp:inline distT="0" distB="0" distL="0" distR="0" wp14:anchorId="07A6D50D" wp14:editId="51DCCC97">
                  <wp:extent cx="2788920" cy="121615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8920" cy="1216152"/>
                          </a:xfrm>
                          <a:prstGeom prst="rect">
                            <a:avLst/>
                          </a:prstGeom>
                        </pic:spPr>
                      </pic:pic>
                    </a:graphicData>
                  </a:graphic>
                </wp:inline>
              </w:drawing>
            </w:r>
          </w:p>
        </w:tc>
        <w:tc>
          <w:tcPr>
            <w:tcW w:w="4773" w:type="dxa"/>
          </w:tcPr>
          <w:p w14:paraId="0FA1D38A" w14:textId="69F60458" w:rsidR="00525DF5" w:rsidRDefault="00904052" w:rsidP="0097109D">
            <w:pPr>
              <w:rPr>
                <w:noProof/>
              </w:rPr>
            </w:pPr>
            <w:r>
              <w:rPr>
                <w:noProof/>
              </w:rPr>
              <w:drawing>
                <wp:inline distT="0" distB="0" distL="0" distR="0" wp14:anchorId="324BE0A1" wp14:editId="613110A1">
                  <wp:extent cx="2139696" cy="12252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39696" cy="1225296"/>
                          </a:xfrm>
                          <a:prstGeom prst="rect">
                            <a:avLst/>
                          </a:prstGeom>
                        </pic:spPr>
                      </pic:pic>
                    </a:graphicData>
                  </a:graphic>
                </wp:inline>
              </w:drawing>
            </w:r>
          </w:p>
        </w:tc>
      </w:tr>
    </w:tbl>
    <w:p w14:paraId="5EA6B475" w14:textId="77777777" w:rsidR="00525DF5" w:rsidRDefault="00525DF5" w:rsidP="0097109D">
      <w:pPr>
        <w:rPr>
          <w:lang w:val="en-GB"/>
        </w:rPr>
      </w:pPr>
    </w:p>
    <w:p w14:paraId="0777FCFD" w14:textId="2A61A21E" w:rsidR="002208B7" w:rsidRDefault="0097109D" w:rsidP="001437FC">
      <w:pPr>
        <w:rPr>
          <w:lang w:val="en-GB"/>
        </w:rPr>
      </w:pPr>
      <w:r>
        <w:rPr>
          <w:lang w:val="en-GB"/>
        </w:rPr>
        <w:t>Even with special transformation rule defined for the frequency-domain resource assignment field, there still exists scheduling restriction for the NW, in the sense that it does not have full flexibility to schedule any number of PRBs anywhere within the new BWP. It may be “stuck” with an assignment that may hurt overall system capacity, for example, it may be forced to schedule in PRBs that results in fragmentation of the spectrum. For such cases, gNB would rather not schedule any data at all but would still be able to trigger BWP switch. Therefore, support for null-assignment is recommended.</w:t>
      </w:r>
      <w:bookmarkEnd w:id="3"/>
    </w:p>
    <w:p w14:paraId="1E63A790" w14:textId="48828C44" w:rsidR="00C60549" w:rsidRDefault="00C60549" w:rsidP="001437FC">
      <w:pPr>
        <w:rPr>
          <w:lang w:val="en-GB"/>
        </w:rPr>
      </w:pPr>
    </w:p>
    <w:p w14:paraId="1D9EF0B9" w14:textId="1E549683" w:rsidR="00D517E1" w:rsidRDefault="00D517E1" w:rsidP="00D42BFF">
      <w:pPr>
        <w:pStyle w:val="Heading3"/>
      </w:pPr>
      <w:r>
        <w:t>Support for Null-Assignment</w:t>
      </w:r>
    </w:p>
    <w:p w14:paraId="2736BB1F" w14:textId="24C9E889" w:rsidR="0012498C" w:rsidRDefault="0012498C" w:rsidP="00D517E1">
      <w:pPr>
        <w:rPr>
          <w:b/>
          <w:u w:val="single"/>
        </w:rPr>
      </w:pPr>
      <w:r>
        <w:rPr>
          <w:b/>
          <w:u w:val="single"/>
        </w:rPr>
        <w:t>Case for null-assignment:</w:t>
      </w:r>
    </w:p>
    <w:p w14:paraId="73D95B25" w14:textId="5D9AFA8B" w:rsidR="0012498C" w:rsidRDefault="0012498C" w:rsidP="001575A7">
      <w:pPr>
        <w:pStyle w:val="ListParagraph"/>
        <w:numPr>
          <w:ilvl w:val="0"/>
          <w:numId w:val="25"/>
        </w:numPr>
      </w:pPr>
      <w:r>
        <w:t>Cross-BWP scheduling does not work</w:t>
      </w:r>
      <w:r w:rsidR="00A126D1">
        <w:t xml:space="preserve"> properly</w:t>
      </w:r>
      <w:r>
        <w:t xml:space="preserve"> for certain cases:</w:t>
      </w:r>
    </w:p>
    <w:p w14:paraId="22F17936" w14:textId="77777777" w:rsidR="005A458F" w:rsidRDefault="005A458F" w:rsidP="005A458F">
      <w:pPr>
        <w:pStyle w:val="ListParagraph"/>
        <w:numPr>
          <w:ilvl w:val="1"/>
          <w:numId w:val="25"/>
        </w:numPr>
      </w:pPr>
      <w:r>
        <w:t>Type 1 allocation could result in severe limitations in frequency domain resource allocation</w:t>
      </w:r>
    </w:p>
    <w:p w14:paraId="33035C1C" w14:textId="24C3DAB2" w:rsidR="005A458F" w:rsidRDefault="005A458F" w:rsidP="005A458F">
      <w:pPr>
        <w:pStyle w:val="ListParagraph"/>
        <w:numPr>
          <w:ilvl w:val="2"/>
          <w:numId w:val="25"/>
        </w:numPr>
      </w:pPr>
      <w:r>
        <w:t>For DL, it is easier to “live with” the scheduling limitations; But for UL, it may lead to spectrum fragmentation / poor resource utilitization, and there should be a way for NW to initiate BWP switch only and defer scheduling of actual UL transmission until scheduling can be done more effectively for the new UL BWP.</w:t>
      </w:r>
    </w:p>
    <w:p w14:paraId="3D009324" w14:textId="16499238" w:rsidR="0012498C" w:rsidRDefault="0012498C" w:rsidP="001575A7">
      <w:pPr>
        <w:pStyle w:val="ListParagraph"/>
        <w:numPr>
          <w:ilvl w:val="1"/>
          <w:numId w:val="25"/>
        </w:numPr>
      </w:pPr>
      <w:r>
        <w:t>Certain fields are “non-transformable”</w:t>
      </w:r>
      <w:r w:rsidR="001863BA">
        <w:t xml:space="preserve"> or on the borderline</w:t>
      </w:r>
      <w:r>
        <w:t xml:space="preserve"> </w:t>
      </w:r>
      <w:r w:rsidR="009B6945">
        <w:t xml:space="preserve">(refer to </w:t>
      </w:r>
      <w:r w:rsidR="004903C3">
        <w:t>Appendix</w:t>
      </w:r>
      <w:r w:rsidR="009B6945">
        <w:t xml:space="preserve"> </w:t>
      </w:r>
      <w:r w:rsidR="009B6945">
        <w:fldChar w:fldCharType="begin"/>
      </w:r>
      <w:r w:rsidR="009B6945">
        <w:instrText xml:space="preserve"> REF _Ref510687668 \r \h </w:instrText>
      </w:r>
      <w:r w:rsidR="009B6945">
        <w:fldChar w:fldCharType="separate"/>
      </w:r>
      <w:r w:rsidR="006240DB">
        <w:t>5.1</w:t>
      </w:r>
      <w:r w:rsidR="009B6945">
        <w:fldChar w:fldCharType="end"/>
      </w:r>
      <w:r w:rsidR="009B6945">
        <w:t xml:space="preserve">) </w:t>
      </w:r>
      <w:r>
        <w:t xml:space="preserve">and if their sizes are configured differently for BWPs involved in BWP switching, use of null-assignment allows NW and UE to </w:t>
      </w:r>
      <w:r w:rsidR="004903C3">
        <w:t>bypass</w:t>
      </w:r>
      <w:r>
        <w:t xml:space="preserve"> the problematic fields.</w:t>
      </w:r>
    </w:p>
    <w:p w14:paraId="0E945C8E" w14:textId="1C005061" w:rsidR="00173ECF" w:rsidRDefault="00476440" w:rsidP="005A458F">
      <w:pPr>
        <w:pStyle w:val="ListParagraph"/>
        <w:numPr>
          <w:ilvl w:val="2"/>
          <w:numId w:val="25"/>
        </w:numPr>
      </w:pPr>
      <w:r>
        <w:t>An alternative is to specify that “non-transformable” fields should be padded to some common size, at least across configured BWP.</w:t>
      </w:r>
    </w:p>
    <w:p w14:paraId="6993F65E" w14:textId="12A47668" w:rsidR="00173ECF" w:rsidRDefault="00D42BFF" w:rsidP="001575A7">
      <w:pPr>
        <w:pStyle w:val="ListParagraph"/>
        <w:numPr>
          <w:ilvl w:val="0"/>
          <w:numId w:val="25"/>
        </w:numPr>
      </w:pPr>
      <w:r>
        <w:t>There is no timeline penalty for DL BWP switch and DL scheduling</w:t>
      </w:r>
    </w:p>
    <w:p w14:paraId="4A5F266F" w14:textId="11BF278D" w:rsidR="00D42BFF" w:rsidRDefault="00D42BFF" w:rsidP="001575A7">
      <w:pPr>
        <w:pStyle w:val="ListParagraph"/>
        <w:numPr>
          <w:ilvl w:val="1"/>
          <w:numId w:val="25"/>
        </w:numPr>
      </w:pPr>
      <w:r>
        <w:t>For DL BWP switch, UE is expected to start monitoring PDCCH in the new BWP in k0 slot as indicated in the BWP switch DCI. If the BWP DCI contains a null-assignment, NW can always issue another DL scheduling DCI in the first slot of the new BWP, and schedule PDSCH in the same slot. Compared to cross-BWP scheduling, there is no additional time delay.</w:t>
      </w:r>
    </w:p>
    <w:p w14:paraId="3179D6E4" w14:textId="77777777" w:rsidR="0012498C" w:rsidRPr="0012498C" w:rsidRDefault="0012498C" w:rsidP="00D517E1"/>
    <w:p w14:paraId="7585B0FC" w14:textId="79B55812" w:rsidR="00D517E1" w:rsidRPr="005C0932" w:rsidRDefault="0012498C" w:rsidP="00D517E1">
      <w:pPr>
        <w:rPr>
          <w:b/>
          <w:u w:val="single"/>
        </w:rPr>
      </w:pPr>
      <w:r>
        <w:rPr>
          <w:b/>
          <w:u w:val="single"/>
        </w:rPr>
        <w:t>Mechanism to indicate null-assignment</w:t>
      </w:r>
      <w:r w:rsidR="00D517E1" w:rsidRPr="005C0932">
        <w:rPr>
          <w:b/>
          <w:u w:val="single"/>
        </w:rPr>
        <w:t>:</w:t>
      </w:r>
    </w:p>
    <w:p w14:paraId="5A3AC9D6" w14:textId="77777777" w:rsidR="00D517E1" w:rsidRDefault="00D517E1" w:rsidP="001575A7">
      <w:pPr>
        <w:pStyle w:val="ListParagraph"/>
        <w:numPr>
          <w:ilvl w:val="0"/>
          <w:numId w:val="16"/>
        </w:numPr>
      </w:pPr>
      <w:r>
        <w:t>Null-assignment can be indicated in the frequency domain resource allocation field as follows</w:t>
      </w:r>
    </w:p>
    <w:p w14:paraId="1C5E0976" w14:textId="77777777" w:rsidR="00D517E1" w:rsidRDefault="00D517E1" w:rsidP="001575A7">
      <w:pPr>
        <w:pStyle w:val="ListParagraph"/>
        <w:numPr>
          <w:ilvl w:val="1"/>
          <w:numId w:val="16"/>
        </w:numPr>
      </w:pPr>
      <w:r>
        <w:t>If type 0 allocation is configured, populate the RA field with all zeros</w:t>
      </w:r>
    </w:p>
    <w:p w14:paraId="5E9DAADD" w14:textId="77777777" w:rsidR="00D517E1" w:rsidRDefault="00D517E1" w:rsidP="001575A7">
      <w:pPr>
        <w:pStyle w:val="ListParagraph"/>
        <w:numPr>
          <w:ilvl w:val="1"/>
          <w:numId w:val="16"/>
        </w:numPr>
      </w:pPr>
      <w:r>
        <w:t>If type 1 allocation is configured, populate the RA field with all 1’s in binary</w:t>
      </w:r>
    </w:p>
    <w:p w14:paraId="61B0C68F" w14:textId="0463BD4A" w:rsidR="00D517E1" w:rsidRDefault="00D517E1" w:rsidP="001575A7">
      <w:pPr>
        <w:pStyle w:val="ListParagraph"/>
        <w:numPr>
          <w:ilvl w:val="1"/>
          <w:numId w:val="16"/>
        </w:numPr>
      </w:pPr>
      <w:r>
        <w:t>If both allocation types is configured, populate the RA field with all zeros (i.e. use type 0)</w:t>
      </w:r>
    </w:p>
    <w:p w14:paraId="49899A0C" w14:textId="77777777" w:rsidR="00BC5307" w:rsidRDefault="00BC5307" w:rsidP="001575A7">
      <w:pPr>
        <w:pStyle w:val="ListParagraph"/>
        <w:numPr>
          <w:ilvl w:val="0"/>
          <w:numId w:val="16"/>
        </w:numPr>
      </w:pPr>
      <w:r>
        <w:t>Timeline needs to be defined for BWP switching triggered by scheduling DCI with null-assignment</w:t>
      </w:r>
    </w:p>
    <w:p w14:paraId="3EE79F64" w14:textId="77777777" w:rsidR="00BC5307" w:rsidRDefault="00BC5307" w:rsidP="001575A7">
      <w:pPr>
        <w:pStyle w:val="ListParagraph"/>
        <w:numPr>
          <w:ilvl w:val="1"/>
          <w:numId w:val="16"/>
        </w:numPr>
      </w:pPr>
      <w:r>
        <w:t>If timeline is significantly different from the case with real assignment, UE complexity may increase to support another timeline</w:t>
      </w:r>
    </w:p>
    <w:p w14:paraId="56DAA1C8" w14:textId="47DDD709" w:rsidR="00BC5307" w:rsidRDefault="00BC5307" w:rsidP="001575A7">
      <w:pPr>
        <w:pStyle w:val="ListParagraph"/>
        <w:numPr>
          <w:ilvl w:val="1"/>
          <w:numId w:val="16"/>
        </w:numPr>
      </w:pPr>
      <w:r>
        <w:t xml:space="preserve">For simplicity, it can be proposed that the same timeline as scheduling with real assignment should be adopted (Examples illustrated in </w:t>
      </w:r>
      <w:r>
        <w:fldChar w:fldCharType="begin"/>
      </w:r>
      <w:r>
        <w:instrText xml:space="preserve"> REF _Ref506321553 \h </w:instrText>
      </w:r>
      <w:r>
        <w:fldChar w:fldCharType="separate"/>
      </w:r>
      <w:r w:rsidR="006240DB">
        <w:t xml:space="preserve">Figure </w:t>
      </w:r>
      <w:r w:rsidR="006240DB">
        <w:rPr>
          <w:noProof/>
        </w:rPr>
        <w:t>1</w:t>
      </w:r>
      <w:r>
        <w:fldChar w:fldCharType="end"/>
      </w:r>
      <w:r>
        <w:t xml:space="preserve"> to </w:t>
      </w:r>
      <w:r>
        <w:fldChar w:fldCharType="begin"/>
      </w:r>
      <w:r>
        <w:instrText xml:space="preserve"> REF _Ref506321294 \h </w:instrText>
      </w:r>
      <w:r>
        <w:fldChar w:fldCharType="separate"/>
      </w:r>
      <w:r w:rsidR="006240DB">
        <w:t xml:space="preserve">Figure </w:t>
      </w:r>
      <w:r w:rsidR="006240DB">
        <w:rPr>
          <w:noProof/>
        </w:rPr>
        <w:t>4</w:t>
      </w:r>
      <w:r>
        <w:fldChar w:fldCharType="end"/>
      </w:r>
      <w:r>
        <w:t>)</w:t>
      </w:r>
    </w:p>
    <w:p w14:paraId="1C7D696C" w14:textId="77777777" w:rsidR="00BC5307" w:rsidRDefault="00BC5307" w:rsidP="001575A7">
      <w:pPr>
        <w:pStyle w:val="ListParagraph"/>
        <w:numPr>
          <w:ilvl w:val="2"/>
          <w:numId w:val="16"/>
        </w:numPr>
      </w:pPr>
      <w:r>
        <w:t>For DL scheduling DCI with null assignment, at least the BWP ID and k0 information need to be read from the DCI payload</w:t>
      </w:r>
    </w:p>
    <w:p w14:paraId="12422011" w14:textId="77777777" w:rsidR="00BC5307" w:rsidRDefault="00BC5307" w:rsidP="001575A7">
      <w:pPr>
        <w:pStyle w:val="ListParagraph"/>
        <w:numPr>
          <w:ilvl w:val="2"/>
          <w:numId w:val="16"/>
        </w:numPr>
      </w:pPr>
      <w:r>
        <w:t>For UL scheduling DCI with null assignment, at least the BWP ID and k2 information need to be read from the DCI payload</w:t>
      </w:r>
    </w:p>
    <w:p w14:paraId="757CA317" w14:textId="4648EA2E" w:rsidR="00BC5307" w:rsidRDefault="00BC5307" w:rsidP="0012498C"/>
    <w:p w14:paraId="794A357A" w14:textId="25E26156" w:rsidR="00BC5307" w:rsidRDefault="00BC5307" w:rsidP="00BC5307">
      <w:pPr>
        <w:pStyle w:val="Caption"/>
        <w:rPr>
          <w:lang w:val="en-GB"/>
        </w:rPr>
      </w:pPr>
      <w:bookmarkStart w:id="6" w:name="_Toc510816460"/>
      <w:r>
        <w:t xml:space="preserve">Proposal </w:t>
      </w:r>
      <w:fldSimple w:instr=" SEQ Proposal \* ARABIC ">
        <w:r w:rsidR="006240DB">
          <w:rPr>
            <w:noProof/>
          </w:rPr>
          <w:t>2</w:t>
        </w:r>
      </w:fldSimple>
      <w:r>
        <w:t xml:space="preserve">: </w:t>
      </w:r>
      <w:r w:rsidR="00CF20D9">
        <w:t>Revise</w:t>
      </w:r>
      <w:r>
        <w:t xml:space="preserve"> the working assumption </w:t>
      </w:r>
      <w:r w:rsidR="00CF20D9">
        <w:t xml:space="preserve">by adding </w:t>
      </w:r>
      <w:r>
        <w:t xml:space="preserve">support for null-assignment for BWP </w:t>
      </w:r>
      <w:r w:rsidR="00CF20D9">
        <w:t>switch DCI.</w:t>
      </w:r>
      <w:bookmarkEnd w:id="6"/>
    </w:p>
    <w:p w14:paraId="468FE355" w14:textId="709345C0" w:rsidR="00D517E1" w:rsidRPr="00B0111E" w:rsidRDefault="00D517E1" w:rsidP="00D517E1">
      <w:pPr>
        <w:pStyle w:val="Caption"/>
      </w:pPr>
      <w:bookmarkStart w:id="7" w:name="_Toc510816461"/>
      <w:r>
        <w:t xml:space="preserve">Proposal </w:t>
      </w:r>
      <w:fldSimple w:instr=" SEQ Proposal \* ARABIC ">
        <w:r w:rsidR="006240DB">
          <w:rPr>
            <w:noProof/>
          </w:rPr>
          <w:t>3</w:t>
        </w:r>
      </w:fldSimple>
      <w:r>
        <w:t xml:space="preserve">: </w:t>
      </w:r>
      <w:r w:rsidR="00BC5307">
        <w:t>I</w:t>
      </w:r>
      <w:r>
        <w:t xml:space="preserve">f a UE identifies null assignment in a </w:t>
      </w:r>
      <w:r w:rsidR="00CF20D9">
        <w:t>BWP switch</w:t>
      </w:r>
      <w:r>
        <w:t xml:space="preserve"> DCI, it is expected to process at least the BWP ID field, the time domain resource assignment field, and in case of a DL scheduling DCI, also the </w:t>
      </w:r>
      <w:r>
        <w:rPr>
          <w:lang w:eastAsia="zh-CN"/>
        </w:rPr>
        <w:t>PUCCH resource indicator</w:t>
      </w:r>
      <w:r>
        <w:t xml:space="preserve"> and </w:t>
      </w:r>
      <w:r>
        <w:rPr>
          <w:lang w:eastAsia="zh-CN"/>
        </w:rPr>
        <w:t>PDSCH-to-HARQ_feedback timing indicator fields. The information is needed because UE should follow the same overall timeline as in the case of a real assignment. In case UE detects a DL scheduling DCI with null assignment, UE is also expected to transmit ACK in the indicated PUCCH resource respecting the original timeline. In addition, other DCI fields should be processed except the subset of fields not relevant for a null assignment, which should be further specified.</w:t>
      </w:r>
      <w:bookmarkEnd w:id="7"/>
    </w:p>
    <w:p w14:paraId="19110EEB" w14:textId="77777777" w:rsidR="00D517E1" w:rsidRPr="0053533A" w:rsidRDefault="00D517E1" w:rsidP="00D517E1"/>
    <w:tbl>
      <w:tblPr>
        <w:tblStyle w:val="TableGrid"/>
        <w:tblW w:w="0" w:type="auto"/>
        <w:tblLook w:val="04A0" w:firstRow="1" w:lastRow="0" w:firstColumn="1" w:lastColumn="0" w:noHBand="0" w:noVBand="1"/>
      </w:tblPr>
      <w:tblGrid>
        <w:gridCol w:w="4814"/>
        <w:gridCol w:w="4814"/>
      </w:tblGrid>
      <w:tr w:rsidR="00D517E1" w14:paraId="29ACF6DA" w14:textId="77777777" w:rsidTr="00E1312A">
        <w:tc>
          <w:tcPr>
            <w:tcW w:w="4814" w:type="dxa"/>
          </w:tcPr>
          <w:p w14:paraId="3E761B72" w14:textId="1B8078BE" w:rsidR="00D517E1" w:rsidRDefault="00D517E1" w:rsidP="00E1312A">
            <w:pPr>
              <w:pStyle w:val="Caption"/>
              <w:keepNext/>
            </w:pPr>
            <w:bookmarkStart w:id="8" w:name="_Ref506321553"/>
            <w:r>
              <w:t xml:space="preserve">Figure </w:t>
            </w:r>
            <w:fldSimple w:instr=" SEQ Figure \* ARABIC ">
              <w:r w:rsidR="006240DB">
                <w:rPr>
                  <w:noProof/>
                </w:rPr>
                <w:t>1</w:t>
              </w:r>
            </w:fldSimple>
            <w:bookmarkEnd w:id="8"/>
            <w:r>
              <w:t>: DL scheduling triggers BWP change</w:t>
            </w:r>
          </w:p>
          <w:p w14:paraId="5407C898" w14:textId="77777777" w:rsidR="00D517E1" w:rsidRDefault="00D517E1" w:rsidP="00E1312A">
            <w:r w:rsidRPr="00D31ECA">
              <w:rPr>
                <w:noProof/>
              </w:rPr>
              <w:drawing>
                <wp:inline distT="0" distB="0" distL="0" distR="0" wp14:anchorId="79E40C04" wp14:editId="3CAE0158">
                  <wp:extent cx="2203704" cy="1252728"/>
                  <wp:effectExtent l="0" t="0" r="6350" b="5080"/>
                  <wp:docPr id="22" name="Picture 5">
                    <a:extLst xmlns:a="http://schemas.openxmlformats.org/drawingml/2006/main">
                      <a:ext uri="{FF2B5EF4-FFF2-40B4-BE49-F238E27FC236}">
                        <a16:creationId xmlns:a16="http://schemas.microsoft.com/office/drawing/2014/main" id="{A0F2E5FE-BA65-42A7-AD8B-0E3D7D84D0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0F2E5FE-BA65-42A7-AD8B-0E3D7D84D0F8}"/>
                              </a:ext>
                            </a:extLst>
                          </pic:cNvPr>
                          <pic:cNvPicPr>
                            <a:picLocks noChangeAspect="1"/>
                          </pic:cNvPicPr>
                        </pic:nvPicPr>
                        <pic:blipFill>
                          <a:blip r:embed="rId16"/>
                          <a:stretch>
                            <a:fillRect/>
                          </a:stretch>
                        </pic:blipFill>
                        <pic:spPr>
                          <a:xfrm>
                            <a:off x="0" y="0"/>
                            <a:ext cx="2203704" cy="1252728"/>
                          </a:xfrm>
                          <a:prstGeom prst="rect">
                            <a:avLst/>
                          </a:prstGeom>
                        </pic:spPr>
                      </pic:pic>
                    </a:graphicData>
                  </a:graphic>
                </wp:inline>
              </w:drawing>
            </w:r>
          </w:p>
        </w:tc>
        <w:tc>
          <w:tcPr>
            <w:tcW w:w="4814" w:type="dxa"/>
          </w:tcPr>
          <w:p w14:paraId="49A74370" w14:textId="79301BD4" w:rsidR="00D517E1" w:rsidRDefault="00D517E1" w:rsidP="00E1312A">
            <w:pPr>
              <w:pStyle w:val="Caption"/>
              <w:keepNext/>
            </w:pPr>
            <w:r>
              <w:t xml:space="preserve">Figure </w:t>
            </w:r>
            <w:fldSimple w:instr=" SEQ Figure \* ARABIC ">
              <w:r w:rsidR="006240DB">
                <w:rPr>
                  <w:noProof/>
                </w:rPr>
                <w:t>2</w:t>
              </w:r>
            </w:fldSimple>
            <w:r>
              <w:t>: UL scheduling triggers BWP change</w:t>
            </w:r>
          </w:p>
          <w:p w14:paraId="30D2FFD2" w14:textId="77777777" w:rsidR="00D517E1" w:rsidRDefault="00D517E1" w:rsidP="00E1312A">
            <w:r w:rsidRPr="00D31ECA">
              <w:rPr>
                <w:noProof/>
              </w:rPr>
              <w:drawing>
                <wp:inline distT="0" distB="0" distL="0" distR="0" wp14:anchorId="7A766B9A" wp14:editId="2C0ADC99">
                  <wp:extent cx="1947672" cy="1252728"/>
                  <wp:effectExtent l="0" t="0" r="0" b="5080"/>
                  <wp:docPr id="23" name="Picture 5">
                    <a:extLst xmlns:a="http://schemas.openxmlformats.org/drawingml/2006/main">
                      <a:ext uri="{FF2B5EF4-FFF2-40B4-BE49-F238E27FC236}">
                        <a16:creationId xmlns:a16="http://schemas.microsoft.com/office/drawing/2014/main" id="{022436AE-8F88-4FC0-9FDD-E967E43CD7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22436AE-8F88-4FC0-9FDD-E967E43CD767}"/>
                              </a:ext>
                            </a:extLst>
                          </pic:cNvPr>
                          <pic:cNvPicPr>
                            <a:picLocks noChangeAspect="1"/>
                          </pic:cNvPicPr>
                        </pic:nvPicPr>
                        <pic:blipFill>
                          <a:blip r:embed="rId17"/>
                          <a:stretch>
                            <a:fillRect/>
                          </a:stretch>
                        </pic:blipFill>
                        <pic:spPr>
                          <a:xfrm>
                            <a:off x="0" y="0"/>
                            <a:ext cx="1947672" cy="1252728"/>
                          </a:xfrm>
                          <a:prstGeom prst="rect">
                            <a:avLst/>
                          </a:prstGeom>
                        </pic:spPr>
                      </pic:pic>
                    </a:graphicData>
                  </a:graphic>
                </wp:inline>
              </w:drawing>
            </w:r>
          </w:p>
        </w:tc>
      </w:tr>
      <w:tr w:rsidR="00D517E1" w14:paraId="751D2367" w14:textId="77777777" w:rsidTr="00E1312A">
        <w:tc>
          <w:tcPr>
            <w:tcW w:w="4814" w:type="dxa"/>
          </w:tcPr>
          <w:p w14:paraId="6B86E1AF" w14:textId="09AC646D" w:rsidR="00D517E1" w:rsidRDefault="00D517E1" w:rsidP="00E1312A">
            <w:pPr>
              <w:pStyle w:val="Caption"/>
              <w:keepNext/>
            </w:pPr>
            <w:bookmarkStart w:id="9" w:name="_Ref506321289"/>
            <w:r>
              <w:t xml:space="preserve">Figure </w:t>
            </w:r>
            <w:fldSimple w:instr=" SEQ Figure \* ARABIC ">
              <w:r w:rsidR="006240DB">
                <w:rPr>
                  <w:noProof/>
                </w:rPr>
                <w:t>3</w:t>
              </w:r>
            </w:fldSimple>
            <w:bookmarkEnd w:id="9"/>
            <w:r>
              <w:t>: DL scheduling with null assignment triggers BWP change only</w:t>
            </w:r>
          </w:p>
          <w:p w14:paraId="308CE445" w14:textId="77777777" w:rsidR="00D517E1" w:rsidRDefault="00D517E1" w:rsidP="00E1312A">
            <w:r w:rsidRPr="00D31ECA">
              <w:rPr>
                <w:noProof/>
              </w:rPr>
              <w:drawing>
                <wp:inline distT="0" distB="0" distL="0" distR="0" wp14:anchorId="37BD918E" wp14:editId="7E85C25C">
                  <wp:extent cx="2203704" cy="1252728"/>
                  <wp:effectExtent l="0" t="0" r="6350" b="5080"/>
                  <wp:docPr id="24" name="Picture 14">
                    <a:extLst xmlns:a="http://schemas.openxmlformats.org/drawingml/2006/main">
                      <a:ext uri="{FF2B5EF4-FFF2-40B4-BE49-F238E27FC236}">
                        <a16:creationId xmlns:a16="http://schemas.microsoft.com/office/drawing/2014/main" id="{2DB9EDC1-AEC9-4225-A702-1D72C02DB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2DB9EDC1-AEC9-4225-A702-1D72C02DBE13}"/>
                              </a:ext>
                            </a:extLst>
                          </pic:cNvPr>
                          <pic:cNvPicPr>
                            <a:picLocks noChangeAspect="1"/>
                          </pic:cNvPicPr>
                        </pic:nvPicPr>
                        <pic:blipFill>
                          <a:blip r:embed="rId18"/>
                          <a:stretch>
                            <a:fillRect/>
                          </a:stretch>
                        </pic:blipFill>
                        <pic:spPr>
                          <a:xfrm>
                            <a:off x="0" y="0"/>
                            <a:ext cx="2203704" cy="1252728"/>
                          </a:xfrm>
                          <a:prstGeom prst="rect">
                            <a:avLst/>
                          </a:prstGeom>
                        </pic:spPr>
                      </pic:pic>
                    </a:graphicData>
                  </a:graphic>
                </wp:inline>
              </w:drawing>
            </w:r>
          </w:p>
        </w:tc>
        <w:tc>
          <w:tcPr>
            <w:tcW w:w="4814" w:type="dxa"/>
          </w:tcPr>
          <w:p w14:paraId="281E01E9" w14:textId="6AC8FB0C" w:rsidR="00D517E1" w:rsidRDefault="00D517E1" w:rsidP="00E1312A">
            <w:pPr>
              <w:pStyle w:val="Caption"/>
              <w:keepNext/>
            </w:pPr>
            <w:bookmarkStart w:id="10" w:name="_Ref506321294"/>
            <w:r>
              <w:t xml:space="preserve">Figure </w:t>
            </w:r>
            <w:fldSimple w:instr=" SEQ Figure \* ARABIC ">
              <w:r w:rsidR="006240DB">
                <w:rPr>
                  <w:noProof/>
                </w:rPr>
                <w:t>4</w:t>
              </w:r>
            </w:fldSimple>
            <w:bookmarkEnd w:id="10"/>
            <w:r>
              <w:t>: UL scheduling with null assignment triggers BWP change only</w:t>
            </w:r>
          </w:p>
          <w:p w14:paraId="223C0F21" w14:textId="77777777" w:rsidR="00D517E1" w:rsidRDefault="00D517E1" w:rsidP="00E1312A">
            <w:r w:rsidRPr="00D31ECA">
              <w:rPr>
                <w:noProof/>
              </w:rPr>
              <w:drawing>
                <wp:inline distT="0" distB="0" distL="0" distR="0" wp14:anchorId="6C7E3217" wp14:editId="40548122">
                  <wp:extent cx="1947672" cy="1252728"/>
                  <wp:effectExtent l="0" t="0" r="0" b="5080"/>
                  <wp:docPr id="25" name="Picture 13">
                    <a:extLst xmlns:a="http://schemas.openxmlformats.org/drawingml/2006/main">
                      <a:ext uri="{FF2B5EF4-FFF2-40B4-BE49-F238E27FC236}">
                        <a16:creationId xmlns:a16="http://schemas.microsoft.com/office/drawing/2014/main" id="{5E77383C-B360-4E67-9CC5-BC6D905E4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5E77383C-B360-4E67-9CC5-BC6D905E4C7E}"/>
                              </a:ext>
                            </a:extLst>
                          </pic:cNvPr>
                          <pic:cNvPicPr>
                            <a:picLocks noChangeAspect="1"/>
                          </pic:cNvPicPr>
                        </pic:nvPicPr>
                        <pic:blipFill>
                          <a:blip r:embed="rId19"/>
                          <a:stretch>
                            <a:fillRect/>
                          </a:stretch>
                        </pic:blipFill>
                        <pic:spPr>
                          <a:xfrm>
                            <a:off x="0" y="0"/>
                            <a:ext cx="1947672" cy="1252728"/>
                          </a:xfrm>
                          <a:prstGeom prst="rect">
                            <a:avLst/>
                          </a:prstGeom>
                        </pic:spPr>
                      </pic:pic>
                    </a:graphicData>
                  </a:graphic>
                </wp:inline>
              </w:drawing>
            </w:r>
          </w:p>
        </w:tc>
      </w:tr>
    </w:tbl>
    <w:p w14:paraId="534BF6F3" w14:textId="77777777" w:rsidR="00D517E1" w:rsidRDefault="00D517E1" w:rsidP="001437FC">
      <w:pPr>
        <w:rPr>
          <w:lang w:val="en-GB"/>
        </w:rPr>
      </w:pPr>
    </w:p>
    <w:p w14:paraId="53358D82" w14:textId="77777777" w:rsidR="00D517E1" w:rsidRDefault="00D517E1" w:rsidP="001437FC">
      <w:pPr>
        <w:rPr>
          <w:lang w:val="en-GB"/>
        </w:rPr>
      </w:pPr>
    </w:p>
    <w:p w14:paraId="22FAE034" w14:textId="02AB2180" w:rsidR="00B57C21" w:rsidRDefault="00B57C21" w:rsidP="00B57C21">
      <w:pPr>
        <w:pStyle w:val="Heading3"/>
      </w:pPr>
      <w:bookmarkStart w:id="11" w:name="_Ref506568464"/>
      <w:r>
        <w:t>Time-Domain Resource Assignment</w:t>
      </w:r>
      <w:bookmarkEnd w:id="11"/>
    </w:p>
    <w:p w14:paraId="7A30DF92" w14:textId="335CD799" w:rsidR="00B57C21" w:rsidRDefault="00427AA7" w:rsidP="00B57C21">
      <w:pPr>
        <w:rPr>
          <w:lang w:val="en-GB"/>
        </w:rPr>
      </w:pPr>
      <w:bookmarkStart w:id="12" w:name="_Hlk506558774"/>
      <w:r>
        <w:rPr>
          <w:lang w:val="en-GB"/>
        </w:rPr>
        <w:t xml:space="preserve">In current specification TS 38.214 </w:t>
      </w:r>
      <w:r>
        <w:rPr>
          <w:lang w:val="en-GB"/>
        </w:rPr>
        <w:fldChar w:fldCharType="begin"/>
      </w:r>
      <w:r>
        <w:rPr>
          <w:lang w:val="en-GB"/>
        </w:rPr>
        <w:instrText xml:space="preserve"> REF _Ref506514750 \r \h </w:instrText>
      </w:r>
      <w:r>
        <w:rPr>
          <w:lang w:val="en-GB"/>
        </w:rPr>
      </w:r>
      <w:r>
        <w:rPr>
          <w:lang w:val="en-GB"/>
        </w:rPr>
        <w:fldChar w:fldCharType="separate"/>
      </w:r>
      <w:r w:rsidR="006240DB">
        <w:rPr>
          <w:lang w:val="en-GB"/>
        </w:rPr>
        <w:t>[4]</w:t>
      </w:r>
      <w:r>
        <w:rPr>
          <w:lang w:val="en-GB"/>
        </w:rPr>
        <w:fldChar w:fldCharType="end"/>
      </w:r>
      <w:r>
        <w:rPr>
          <w:lang w:val="en-GB"/>
        </w:rPr>
        <w:t>, the following are the descriptions on the time-domain resource assignment field:</w:t>
      </w:r>
    </w:p>
    <w:p w14:paraId="469A74CB" w14:textId="02DAC753" w:rsidR="00427AA7" w:rsidRDefault="00427AA7" w:rsidP="00B57C21">
      <w:pPr>
        <w:rPr>
          <w:lang w:val="en-GB"/>
        </w:rPr>
      </w:pPr>
      <w:r>
        <w:rPr>
          <w:lang w:val="en-GB"/>
        </w:rPr>
        <w:t>Section 5.1.2.1:</w:t>
      </w:r>
    </w:p>
    <w:p w14:paraId="738413FF" w14:textId="021C1D85" w:rsidR="00427AA7" w:rsidRPr="00427AA7" w:rsidRDefault="00427AA7" w:rsidP="00B57C21">
      <w:pPr>
        <w:rPr>
          <w:i/>
          <w:lang w:val="en-GB"/>
        </w:rPr>
      </w:pPr>
      <w:r w:rsidRPr="00427AA7">
        <w:rPr>
          <w:i/>
          <w:color w:val="000000"/>
        </w:rPr>
        <w:t xml:space="preserve">When the UE is scheduled to receive PDSCH by a DCI, the Time domain resource assignment field of the DCI provides a row index of </w:t>
      </w:r>
      <w:r w:rsidR="00725879">
        <w:rPr>
          <w:i/>
          <w:color w:val="000000"/>
        </w:rPr>
        <w:t>a higher layer configured</w:t>
      </w:r>
      <w:r w:rsidRPr="00427AA7">
        <w:rPr>
          <w:i/>
          <w:color w:val="000000"/>
        </w:rPr>
        <w:t xml:space="preserve"> table pdsch-symbolAllocation, where the indexed row defines the slot offset K</w:t>
      </w:r>
      <w:r w:rsidRPr="00427AA7">
        <w:rPr>
          <w:i/>
          <w:color w:val="000000"/>
          <w:vertAlign w:val="subscript"/>
        </w:rPr>
        <w:t>0</w:t>
      </w:r>
      <w:r w:rsidRPr="00427AA7">
        <w:rPr>
          <w:i/>
          <w:color w:val="000000"/>
        </w:rPr>
        <w:t>, the start and length indicator SLIV, and the PDSCH mapping type to be assumed in the PDSCH reception.</w:t>
      </w:r>
    </w:p>
    <w:p w14:paraId="6995A51C" w14:textId="5C05E654" w:rsidR="00427AA7" w:rsidRDefault="00427AA7" w:rsidP="00B57C21">
      <w:pPr>
        <w:rPr>
          <w:lang w:val="en-GB"/>
        </w:rPr>
      </w:pPr>
      <w:r>
        <w:rPr>
          <w:lang w:val="en-GB"/>
        </w:rPr>
        <w:t>Section 6.1.2.1:</w:t>
      </w:r>
    </w:p>
    <w:p w14:paraId="344E35DC" w14:textId="3CB8A7B4" w:rsidR="00427AA7" w:rsidRPr="00427AA7" w:rsidRDefault="00427AA7" w:rsidP="00B57C21">
      <w:pPr>
        <w:rPr>
          <w:i/>
          <w:lang w:val="en-GB"/>
        </w:rPr>
      </w:pPr>
      <w:r w:rsidRPr="00427AA7">
        <w:rPr>
          <w:i/>
          <w:color w:val="000000"/>
        </w:rPr>
        <w:t xml:space="preserve">When the UE is scheduled to transmit a </w:t>
      </w:r>
      <w:r w:rsidR="00AA746D" w:rsidRPr="00AA746D">
        <w:rPr>
          <w:i/>
          <w:color w:val="000000"/>
        </w:rPr>
        <w:t>transport block and no CSI report, or the UE is scheduled to transmit a transport block and a CSI report on PUSCH by a DCI</w:t>
      </w:r>
      <w:r w:rsidRPr="00427AA7">
        <w:rPr>
          <w:i/>
          <w:color w:val="000000"/>
        </w:rPr>
        <w:t>, the Time domain resource assignment field of the DCI provides a row index of an RRC configured table pusch-symbolAllocation, where the indexed row defines the slot offset K</w:t>
      </w:r>
      <w:r w:rsidRPr="00427AA7">
        <w:rPr>
          <w:i/>
          <w:color w:val="000000"/>
          <w:vertAlign w:val="subscript"/>
        </w:rPr>
        <w:t>2</w:t>
      </w:r>
      <w:r w:rsidRPr="00427AA7">
        <w:rPr>
          <w:i/>
          <w:color w:val="000000"/>
        </w:rPr>
        <w:t>, the start and length indicator SLIV, and the PUSCH mapping type to be applied in the PUSCH transmission.</w:t>
      </w:r>
    </w:p>
    <w:p w14:paraId="4C5BF0DA" w14:textId="0C12B442" w:rsidR="0088338B" w:rsidRDefault="00C32157" w:rsidP="0088338B">
      <w:pPr>
        <w:rPr>
          <w:lang w:val="en-GB"/>
        </w:rPr>
      </w:pPr>
      <w:r>
        <w:rPr>
          <w:lang w:val="en-GB"/>
        </w:rPr>
        <w:t>Based on the</w:t>
      </w:r>
      <w:r w:rsidR="0088338B">
        <w:rPr>
          <w:lang w:val="en-GB"/>
        </w:rPr>
        <w:t xml:space="preserve"> RAN1 #91 agreement </w:t>
      </w:r>
      <w:r w:rsidR="0088338B">
        <w:rPr>
          <w:lang w:val="en-GB"/>
        </w:rPr>
        <w:fldChar w:fldCharType="begin"/>
      </w:r>
      <w:r w:rsidR="0088338B">
        <w:rPr>
          <w:lang w:val="en-GB"/>
        </w:rPr>
        <w:instrText xml:space="preserve"> REF _Ref506298385 \r \h </w:instrText>
      </w:r>
      <w:r w:rsidR="0088338B">
        <w:rPr>
          <w:lang w:val="en-GB"/>
        </w:rPr>
      </w:r>
      <w:r w:rsidR="0088338B">
        <w:rPr>
          <w:lang w:val="en-GB"/>
        </w:rPr>
        <w:fldChar w:fldCharType="separate"/>
      </w:r>
      <w:r w:rsidR="006240DB">
        <w:rPr>
          <w:lang w:val="en-GB"/>
        </w:rPr>
        <w:t>[2]</w:t>
      </w:r>
      <w:r w:rsidR="0088338B">
        <w:rPr>
          <w:lang w:val="en-GB"/>
        </w:rPr>
        <w:fldChar w:fldCharType="end"/>
      </w:r>
      <w:r>
        <w:rPr>
          <w:lang w:val="en-GB"/>
        </w:rPr>
        <w:t xml:space="preserve"> below, the values of </w:t>
      </w:r>
      <w:r w:rsidR="0088338B">
        <w:rPr>
          <w:lang w:val="en-GB"/>
        </w:rPr>
        <w:t>k0 and k2 in the pdsch-symbolAllocation and pusch-symbolAllocation tables</w:t>
      </w:r>
      <w:r>
        <w:rPr>
          <w:lang w:val="en-GB"/>
        </w:rPr>
        <w:t xml:space="preserve"> are limited to a choice of up to 4 different values for k0, and choice of up to 8 different values for k2, and the tables are BWP-specific.</w:t>
      </w:r>
    </w:p>
    <w:p w14:paraId="270443AE" w14:textId="77777777" w:rsidR="0088338B" w:rsidRPr="002F7DC3" w:rsidRDefault="0088338B" w:rsidP="001575A7">
      <w:pPr>
        <w:numPr>
          <w:ilvl w:val="0"/>
          <w:numId w:val="20"/>
        </w:numPr>
        <w:overflowPunct/>
        <w:autoSpaceDE/>
        <w:autoSpaceDN/>
        <w:adjustRightInd/>
        <w:spacing w:after="0"/>
        <w:textAlignment w:val="auto"/>
      </w:pPr>
      <w:r w:rsidRPr="002F7DC3">
        <w:t>One table for UL, one table for DL configured by RRC in Rel-15</w:t>
      </w:r>
    </w:p>
    <w:p w14:paraId="69A525B4" w14:textId="77777777" w:rsidR="0088338B" w:rsidRPr="002F7DC3" w:rsidRDefault="0088338B" w:rsidP="001575A7">
      <w:pPr>
        <w:numPr>
          <w:ilvl w:val="1"/>
          <w:numId w:val="20"/>
        </w:numPr>
        <w:overflowPunct/>
        <w:autoSpaceDE/>
        <w:autoSpaceDN/>
        <w:adjustRightInd/>
        <w:spacing w:after="0"/>
        <w:textAlignment w:val="auto"/>
      </w:pPr>
      <w:r w:rsidRPr="002F7DC3">
        <w:t>Each table is up to 16 rows</w:t>
      </w:r>
    </w:p>
    <w:p w14:paraId="7FA44CC5" w14:textId="77777777" w:rsidR="0088338B" w:rsidRPr="002F7DC3" w:rsidRDefault="0088338B" w:rsidP="001575A7">
      <w:pPr>
        <w:numPr>
          <w:ilvl w:val="0"/>
          <w:numId w:val="20"/>
        </w:numPr>
        <w:overflowPunct/>
        <w:autoSpaceDE/>
        <w:autoSpaceDN/>
        <w:adjustRightInd/>
        <w:spacing w:after="0"/>
        <w:textAlignment w:val="auto"/>
      </w:pPr>
      <w:r w:rsidRPr="002F7DC3">
        <w:t xml:space="preserve">In the table, each row is configured by RRC with </w:t>
      </w:r>
    </w:p>
    <w:p w14:paraId="5D220E5C" w14:textId="77777777" w:rsidR="0088338B" w:rsidRPr="005650CE" w:rsidRDefault="0088338B" w:rsidP="001575A7">
      <w:pPr>
        <w:numPr>
          <w:ilvl w:val="1"/>
          <w:numId w:val="20"/>
        </w:numPr>
        <w:overflowPunct/>
        <w:autoSpaceDE/>
        <w:autoSpaceDN/>
        <w:adjustRightInd/>
        <w:spacing w:after="0"/>
        <w:textAlignment w:val="auto"/>
        <w:rPr>
          <w:highlight w:val="yellow"/>
        </w:rPr>
      </w:pPr>
      <w:r w:rsidRPr="005650CE">
        <w:rPr>
          <w:highlight w:val="yellow"/>
        </w:rPr>
        <w:t>K0 using 2 bits (for DL table),  K2 using 3 bits (for UL table)</w:t>
      </w:r>
    </w:p>
    <w:p w14:paraId="7E8DD5BB" w14:textId="77777777" w:rsidR="0088338B" w:rsidRPr="002F7DC3" w:rsidRDefault="0088338B" w:rsidP="001575A7">
      <w:pPr>
        <w:numPr>
          <w:ilvl w:val="1"/>
          <w:numId w:val="20"/>
        </w:numPr>
        <w:overflowPunct/>
        <w:autoSpaceDE/>
        <w:autoSpaceDN/>
        <w:adjustRightInd/>
        <w:spacing w:after="0"/>
        <w:textAlignment w:val="auto"/>
      </w:pPr>
      <w:r w:rsidRPr="002F7DC3">
        <w:t>an index (6-bit) into a table/equation in RAN1 specs capturing valid combinations of start symbol and length (jointly encoded)</w:t>
      </w:r>
    </w:p>
    <w:p w14:paraId="224D5FDF" w14:textId="77777777" w:rsidR="0088338B" w:rsidRPr="002F7DC3" w:rsidRDefault="0088338B" w:rsidP="001575A7">
      <w:pPr>
        <w:numPr>
          <w:ilvl w:val="1"/>
          <w:numId w:val="20"/>
        </w:numPr>
        <w:overflowPunct/>
        <w:autoSpaceDE/>
        <w:autoSpaceDN/>
        <w:adjustRightInd/>
        <w:spacing w:after="0"/>
        <w:textAlignment w:val="auto"/>
      </w:pPr>
      <w:r w:rsidRPr="002F7DC3">
        <w:t>PDSCH mapping type A or B</w:t>
      </w:r>
    </w:p>
    <w:bookmarkEnd w:id="12"/>
    <w:p w14:paraId="0D2096C8" w14:textId="5D74BADE" w:rsidR="0088338B" w:rsidRDefault="0088338B" w:rsidP="0088338B">
      <w:pPr>
        <w:rPr>
          <w:lang w:val="en-GB"/>
        </w:rPr>
      </w:pPr>
    </w:p>
    <w:p w14:paraId="6231C371" w14:textId="076ECD0D" w:rsidR="002F06A8" w:rsidRDefault="00F11086" w:rsidP="0088338B">
      <w:pPr>
        <w:rPr>
          <w:lang w:val="en-GB"/>
        </w:rPr>
      </w:pPr>
      <w:r>
        <w:t>The DCI field transformation rule from the working assumption’s rule states “</w:t>
      </w:r>
      <w:r w:rsidRPr="007D2C03">
        <w:t>apply zero-padding/truncation to the field prior to interpreting the information fields for the new BWP</w:t>
      </w:r>
      <w:r>
        <w:t xml:space="preserve">.” </w:t>
      </w:r>
      <w:r w:rsidR="002F06A8">
        <w:rPr>
          <w:lang w:val="en-GB"/>
        </w:rPr>
        <w:t xml:space="preserve">Similar to frequency-domain resource allocation, </w:t>
      </w:r>
      <w:r w:rsidR="00EE1D36">
        <w:rPr>
          <w:lang w:val="en-GB"/>
        </w:rPr>
        <w:t xml:space="preserve">the rule </w:t>
      </w:r>
      <w:r w:rsidR="00761E3C">
        <w:rPr>
          <w:lang w:val="en-GB"/>
        </w:rPr>
        <w:t>is incomplete</w:t>
      </w:r>
      <w:r w:rsidR="00F611BC">
        <w:rPr>
          <w:lang w:val="en-GB"/>
        </w:rPr>
        <w:t xml:space="preserve"> when applied to the time-domain resource allocation field</w:t>
      </w:r>
      <w:r w:rsidR="00EE1D36">
        <w:rPr>
          <w:lang w:val="en-GB"/>
        </w:rPr>
        <w:t xml:space="preserve">, </w:t>
      </w:r>
      <w:r w:rsidR="00761E3C">
        <w:rPr>
          <w:lang w:val="en-GB"/>
        </w:rPr>
        <w:t xml:space="preserve">and </w:t>
      </w:r>
      <w:r w:rsidR="002F06A8">
        <w:rPr>
          <w:lang w:val="en-GB"/>
        </w:rPr>
        <w:t xml:space="preserve">further details </w:t>
      </w:r>
      <w:r w:rsidR="00761E3C">
        <w:rPr>
          <w:lang w:val="en-GB"/>
        </w:rPr>
        <w:t xml:space="preserve">need to be </w:t>
      </w:r>
      <w:r w:rsidR="002F06A8">
        <w:rPr>
          <w:lang w:val="en-GB"/>
        </w:rPr>
        <w:t>determined</w:t>
      </w:r>
      <w:r w:rsidR="00761E3C">
        <w:rPr>
          <w:lang w:val="en-GB"/>
        </w:rPr>
        <w:t xml:space="preserve"> to make it work</w:t>
      </w:r>
      <w:r w:rsidR="002F06A8">
        <w:rPr>
          <w:lang w:val="en-GB"/>
        </w:rPr>
        <w:t xml:space="preserve">. </w:t>
      </w:r>
      <w:r w:rsidR="00245AF4">
        <w:rPr>
          <w:lang w:val="en-GB"/>
        </w:rPr>
        <w:t>For cross-BWP scheduling that triggers BWP switch, there are at least two important questions to be resolved:</w:t>
      </w:r>
    </w:p>
    <w:p w14:paraId="4BC21FCA" w14:textId="034C6BC1" w:rsidR="00245AF4" w:rsidRDefault="00245AF4" w:rsidP="001575A7">
      <w:pPr>
        <w:pStyle w:val="ListParagraph"/>
        <w:numPr>
          <w:ilvl w:val="0"/>
          <w:numId w:val="21"/>
        </w:numPr>
      </w:pPr>
      <w:r>
        <w:t>Because the tables are BWP-specific, which BWP’s table should be used: current BWP or new BWP?</w:t>
      </w:r>
    </w:p>
    <w:p w14:paraId="41CA704F" w14:textId="4CE8601D" w:rsidR="002F06A8" w:rsidRDefault="00245AF4" w:rsidP="001575A7">
      <w:pPr>
        <w:pStyle w:val="ListParagraph"/>
        <w:numPr>
          <w:ilvl w:val="0"/>
          <w:numId w:val="21"/>
        </w:numPr>
      </w:pPr>
      <w:r>
        <w:t>In case the current BWP and new BWP have different numerology, which numerology should be used for k0 or k2 interpretation?</w:t>
      </w:r>
    </w:p>
    <w:p w14:paraId="3DC62AB9" w14:textId="59C8C089" w:rsidR="001F676A" w:rsidRDefault="007D2C03" w:rsidP="007D2C03">
      <w:r>
        <w:t xml:space="preserve">For time-domain resource allocation, the field is essentially an index to the pdsch-symbolAllocation or pusch-symbolAllocation table, depending on whether the DCI is Format 1-1 or 0-1 respectively. Despite some ambiguity in whether “interpreting the information fields for the new BWP” means using the new BWP’s table, our view is that the new BWP’s table should be used. The time-domain RA field is sized based on the current BWP, and it is sized (from 0 up to 5 bits) just enough to make all of the rows in the current BWP’s table addressable. </w:t>
      </w:r>
      <w:r w:rsidR="001F676A">
        <w:t>For cross-BWP scheduling, there are 3 cases to consider: the new BWP’s table may require (i) more bits, (ii) fewer bits, or (iii) same number of bits for indexing into the new BWP’s table. In the case the field contains too few bits for the new BWP’s table (Case i), only a subset of the rows in the table can be addressed. In the case the field contains too many bits (Case ii), some bits are not necessary and can be truncated. It can be further proposed that for Case i, the addressable rows start from the lowest indexed row (i.e. the 1</w:t>
      </w:r>
      <w:r w:rsidR="001F676A" w:rsidRPr="001F676A">
        <w:rPr>
          <w:vertAlign w:val="superscript"/>
        </w:rPr>
        <w:t>st</w:t>
      </w:r>
      <w:r w:rsidR="001F676A">
        <w:t xml:space="preserve"> row) in the table. For example, if the field has 2 bits, and the new BWP’s table has 8 rows, only the </w:t>
      </w:r>
      <w:r w:rsidR="00923C0D">
        <w:t>1</w:t>
      </w:r>
      <w:r w:rsidR="00923C0D" w:rsidRPr="00923C0D">
        <w:rPr>
          <w:vertAlign w:val="superscript"/>
        </w:rPr>
        <w:t>st</w:t>
      </w:r>
      <w:r w:rsidR="001F676A">
        <w:t>, 2</w:t>
      </w:r>
      <w:r w:rsidR="001F676A" w:rsidRPr="001F676A">
        <w:rPr>
          <w:vertAlign w:val="superscript"/>
        </w:rPr>
        <w:t>nd</w:t>
      </w:r>
      <w:r w:rsidR="001F676A">
        <w:t>, 3</w:t>
      </w:r>
      <w:r w:rsidR="001F676A" w:rsidRPr="001F676A">
        <w:rPr>
          <w:vertAlign w:val="superscript"/>
        </w:rPr>
        <w:t>rd</w:t>
      </w:r>
      <w:r w:rsidR="001F676A">
        <w:t>, and 4</w:t>
      </w:r>
      <w:r w:rsidR="001F676A" w:rsidRPr="001F676A">
        <w:rPr>
          <w:vertAlign w:val="superscript"/>
        </w:rPr>
        <w:t>th</w:t>
      </w:r>
      <w:r w:rsidR="001F676A">
        <w:t xml:space="preserve"> row can be addressed, and the remaining rows are not addressable. For Case ii, </w:t>
      </w:r>
      <w:r w:rsidR="00A831FB">
        <w:t>the truncation starts from the MSB. For example, if the field has 3 bits, and the new BWP’s table has 4 rows, the MSB bit can be truncated, and the lower 2 bits is used to address one of the four rows in the table.</w:t>
      </w:r>
    </w:p>
    <w:p w14:paraId="75DEF111" w14:textId="66F21989" w:rsidR="00F11086" w:rsidRDefault="00F11086" w:rsidP="00C32157">
      <w:pPr>
        <w:rPr>
          <w:lang w:val="en-GB"/>
        </w:rPr>
      </w:pPr>
      <w:r>
        <w:rPr>
          <w:lang w:val="en-GB"/>
        </w:rPr>
        <w:t>For the second question, consideration needs to be given to cross-carrier scheduling. It had been agreed that the numerology for k0 or k2 in the case of cross-carrier scheduling between CC with different numerology would be based on the scheduled carrier. To achieve consistency between BWP and CA, the new BWP’s numerology should be used for k0 or k2 interpretation.</w:t>
      </w:r>
    </w:p>
    <w:p w14:paraId="70CA9A59" w14:textId="223A39D8" w:rsidR="00F11086" w:rsidRDefault="00BA77D9" w:rsidP="00BA77D9">
      <w:pPr>
        <w:pStyle w:val="Caption"/>
      </w:pPr>
      <w:bookmarkStart w:id="13" w:name="_Toc510816462"/>
      <w:r>
        <w:t xml:space="preserve">Proposal </w:t>
      </w:r>
      <w:fldSimple w:instr=" SEQ Proposal \* ARABIC ">
        <w:r w:rsidR="006240DB">
          <w:rPr>
            <w:noProof/>
          </w:rPr>
          <w:t>4</w:t>
        </w:r>
      </w:fldSimple>
      <w:r w:rsidR="00F80CAD">
        <w:t>: For cross-BWP scheduling, time-domain resource allocation field size is determined based on current BWP, and the new BWP’s table (pdsch-symbolAllocation or pusch-symbolAllocation) is used.</w:t>
      </w:r>
      <w:bookmarkEnd w:id="13"/>
    </w:p>
    <w:p w14:paraId="6DF1CB7D" w14:textId="3475236C" w:rsidR="00F80CAD" w:rsidRDefault="00F80CAD" w:rsidP="00F80CAD">
      <w:pPr>
        <w:pStyle w:val="Caption"/>
      </w:pPr>
      <w:bookmarkStart w:id="14" w:name="_Toc510816463"/>
      <w:r>
        <w:t xml:space="preserve">Proposal </w:t>
      </w:r>
      <w:fldSimple w:instr=" SEQ Proposal \* ARABIC ">
        <w:r w:rsidR="006240DB">
          <w:rPr>
            <w:noProof/>
          </w:rPr>
          <w:t>5</w:t>
        </w:r>
      </w:fldSimple>
      <w:r>
        <w:t>: When the number of bits in the time-domain resource allocation field is not sufficient to address all the rows in the new BWP’s table, UE expects only the lower-indexed rows, i.e. starting from the first row, can be addressed.</w:t>
      </w:r>
      <w:bookmarkEnd w:id="14"/>
    </w:p>
    <w:p w14:paraId="251642F4" w14:textId="159D15CF" w:rsidR="00F80CAD" w:rsidRPr="00F80CAD" w:rsidRDefault="00F80CAD" w:rsidP="00F80CAD">
      <w:pPr>
        <w:pStyle w:val="Caption"/>
      </w:pPr>
      <w:bookmarkStart w:id="15" w:name="_Toc510816464"/>
      <w:r>
        <w:t xml:space="preserve">Proposal </w:t>
      </w:r>
      <w:fldSimple w:instr=" SEQ Proposal \* ARABIC ">
        <w:r w:rsidR="006240DB">
          <w:rPr>
            <w:noProof/>
          </w:rPr>
          <w:t>6</w:t>
        </w:r>
      </w:fldSimple>
      <w:r>
        <w:t>: When the number of bits in the time-domain resource allocation field contain too many bits for the new BWP’s table, UE expects that only the lower bits are used to sufficiently address all rows in the new BWP’s table. In other words, truncation starts from the MSB.</w:t>
      </w:r>
      <w:bookmarkEnd w:id="15"/>
    </w:p>
    <w:p w14:paraId="7486C323" w14:textId="2A904E0F" w:rsidR="00A831FB" w:rsidRDefault="00F80CAD" w:rsidP="00F80CAD">
      <w:pPr>
        <w:pStyle w:val="Caption"/>
        <w:rPr>
          <w:lang w:val="en-GB"/>
        </w:rPr>
      </w:pPr>
      <w:bookmarkStart w:id="16" w:name="_Toc510816465"/>
      <w:r>
        <w:t xml:space="preserve">Proposal </w:t>
      </w:r>
      <w:fldSimple w:instr=" SEQ Proposal \* ARABIC ">
        <w:r w:rsidR="006240DB">
          <w:rPr>
            <w:noProof/>
          </w:rPr>
          <w:t>7</w:t>
        </w:r>
      </w:fldSimple>
      <w:r>
        <w:t>: For cross-BWP scheduling and in case the BWPs have different numerology, the new BWP’s numerology is used for interpretation of k0 or k2</w:t>
      </w:r>
      <w:r w:rsidR="00BB24C8">
        <w:t xml:space="preserve"> (for DCI Format 1-1 or 0-1 respectively).</w:t>
      </w:r>
      <w:bookmarkEnd w:id="16"/>
    </w:p>
    <w:p w14:paraId="4A4765B6" w14:textId="55D3CA4E" w:rsidR="00F80CAD" w:rsidRDefault="00F80CAD" w:rsidP="00C32157">
      <w:pPr>
        <w:rPr>
          <w:lang w:val="en-GB"/>
        </w:rPr>
      </w:pPr>
    </w:p>
    <w:p w14:paraId="05D1D00C" w14:textId="0C23B4E5" w:rsidR="00FF0967" w:rsidRDefault="00C11321" w:rsidP="00C32157">
      <w:pPr>
        <w:rPr>
          <w:lang w:val="en-GB"/>
        </w:rPr>
      </w:pPr>
      <w:r>
        <w:rPr>
          <w:lang w:val="en-GB"/>
        </w:rPr>
        <w:t xml:space="preserve">In RAN1 #92, it was decided that k0 or k2 indicated by BWP switch DCI also accommodates BWP switching delay </w:t>
      </w:r>
      <w:r>
        <w:rPr>
          <w:lang w:val="en-GB"/>
        </w:rPr>
        <w:fldChar w:fldCharType="begin"/>
      </w:r>
      <w:r>
        <w:rPr>
          <w:lang w:val="en-GB"/>
        </w:rPr>
        <w:instrText xml:space="preserve"> REF _Ref510358192 \r \h </w:instrText>
      </w:r>
      <w:r>
        <w:rPr>
          <w:lang w:val="en-GB"/>
        </w:rPr>
      </w:r>
      <w:r>
        <w:rPr>
          <w:lang w:val="en-GB"/>
        </w:rPr>
        <w:fldChar w:fldCharType="separate"/>
      </w:r>
      <w:r w:rsidR="006240DB">
        <w:rPr>
          <w:lang w:val="en-GB"/>
        </w:rPr>
        <w:t>[10]</w:t>
      </w:r>
      <w:r>
        <w:rPr>
          <w:lang w:val="en-GB"/>
        </w:rPr>
        <w:fldChar w:fldCharType="end"/>
      </w:r>
      <w:r>
        <w:rPr>
          <w:lang w:val="en-GB"/>
        </w:rPr>
        <w:t>. In the following example,</w:t>
      </w:r>
      <w:r w:rsidR="00FF0967">
        <w:rPr>
          <w:lang w:val="en-GB"/>
        </w:rPr>
        <w:t xml:space="preserve"> k0 management is illustrated; k2 can be managed in a similar way.</w:t>
      </w:r>
    </w:p>
    <w:p w14:paraId="2E9A5EF0" w14:textId="5BC957CC" w:rsidR="00E835C0" w:rsidRDefault="00FF0967" w:rsidP="00C32157">
      <w:pPr>
        <w:rPr>
          <w:lang w:val="en-GB"/>
        </w:rPr>
      </w:pPr>
      <w:r>
        <w:rPr>
          <w:lang w:val="en-GB"/>
        </w:rPr>
        <w:t xml:space="preserve">Suppose there are </w:t>
      </w:r>
      <w:r w:rsidR="00E55E5D">
        <w:rPr>
          <w:lang w:val="en-GB"/>
        </w:rPr>
        <w:t>3</w:t>
      </w:r>
      <w:r>
        <w:rPr>
          <w:lang w:val="en-GB"/>
        </w:rPr>
        <w:t xml:space="preserve"> BWP configurations with different minimum k0. One of them is intended for operating the UE in lower power mode with cross-slot scheduling only, and the other one optimized for low latency data with same-slot scheduling.</w:t>
      </w:r>
      <w:r w:rsidR="00591A92">
        <w:rPr>
          <w:lang w:val="en-GB"/>
        </w:rPr>
        <w:t xml:space="preserve"> Also, there is a default BWP with narrow BW configuration.</w:t>
      </w:r>
    </w:p>
    <w:p w14:paraId="40E3C552" w14:textId="36AADF8B" w:rsidR="00A77DCC" w:rsidRDefault="00A77DCC" w:rsidP="00C32157">
      <w:pPr>
        <w:rPr>
          <w:lang w:val="en-GB"/>
        </w:rPr>
      </w:pPr>
      <w:r>
        <w:rPr>
          <w:lang w:val="en-GB"/>
        </w:rPr>
        <w:t>Suppose the following BWP transition time need to be supported:</w:t>
      </w:r>
    </w:p>
    <w:p w14:paraId="544EBA07" w14:textId="7563FEA5" w:rsidR="00A77DCC" w:rsidRDefault="00A77DCC" w:rsidP="001575A7">
      <w:pPr>
        <w:pStyle w:val="ListParagraph"/>
        <w:numPr>
          <w:ilvl w:val="0"/>
          <w:numId w:val="23"/>
        </w:numPr>
      </w:pPr>
      <w:r>
        <w:t>BW adaptation between narrow and wide: 2 slots</w:t>
      </w:r>
    </w:p>
    <w:p w14:paraId="182CF236" w14:textId="101D1E95" w:rsidR="00A77DCC" w:rsidRPr="00A77DCC" w:rsidRDefault="00A77DCC" w:rsidP="001575A7">
      <w:pPr>
        <w:pStyle w:val="ListParagraph"/>
        <w:numPr>
          <w:ilvl w:val="0"/>
          <w:numId w:val="23"/>
        </w:numPr>
      </w:pPr>
      <w:r>
        <w:t>Same BW and center frequency but with baseband parameter change only: 1 slot</w:t>
      </w:r>
    </w:p>
    <w:p w14:paraId="023FC28F" w14:textId="77777777" w:rsidR="000B55FD" w:rsidRDefault="000B55FD" w:rsidP="00C32157">
      <w:pPr>
        <w:rPr>
          <w:lang w:val="en-GB"/>
        </w:rPr>
      </w:pPr>
    </w:p>
    <w:p w14:paraId="3140D321" w14:textId="1857FADE" w:rsidR="00FF0967" w:rsidRDefault="00FF0967" w:rsidP="00C32157">
      <w:pPr>
        <w:rPr>
          <w:lang w:val="en-GB"/>
        </w:rPr>
      </w:pPr>
      <w:r>
        <w:rPr>
          <w:lang w:val="en-GB"/>
        </w:rPr>
        <w:t>The BWP are configured with the following pdsch-symbolAllocation entries (only k0 is shown, assuming SLIV and PDSCH type are not the differentiators):</w:t>
      </w:r>
    </w:p>
    <w:p w14:paraId="2F026188" w14:textId="5491AF27" w:rsidR="007A238B" w:rsidRDefault="00D01640" w:rsidP="00947DA4">
      <w:pPr>
        <w:jc w:val="center"/>
        <w:rPr>
          <w:lang w:val="en-GB"/>
        </w:rPr>
      </w:pPr>
      <w:r w:rsidRPr="00D01640">
        <w:rPr>
          <w:noProof/>
        </w:rPr>
        <w:drawing>
          <wp:inline distT="0" distB="0" distL="0" distR="0" wp14:anchorId="73F941DB" wp14:editId="61C5263F">
            <wp:extent cx="3502152" cy="2276856"/>
            <wp:effectExtent l="0" t="0" r="317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02152" cy="2276856"/>
                    </a:xfrm>
                    <a:prstGeom prst="rect">
                      <a:avLst/>
                    </a:prstGeom>
                  </pic:spPr>
                </pic:pic>
              </a:graphicData>
            </a:graphic>
          </wp:inline>
        </w:drawing>
      </w:r>
    </w:p>
    <w:p w14:paraId="432AB266" w14:textId="63593007" w:rsidR="00E835C0" w:rsidRDefault="00A77DCC" w:rsidP="00C32157">
      <w:pPr>
        <w:rPr>
          <w:lang w:val="en-GB"/>
        </w:rPr>
      </w:pPr>
      <w:r>
        <w:rPr>
          <w:lang w:val="en-GB"/>
        </w:rPr>
        <w:t>The following BWP transitions are illustrated: BWP</w:t>
      </w:r>
      <w:r w:rsidR="000B55FD">
        <w:rPr>
          <w:lang w:val="en-GB"/>
        </w:rPr>
        <w:t>0</w:t>
      </w:r>
      <w:r>
        <w:rPr>
          <w:lang w:val="en-GB"/>
        </w:rPr>
        <w:t xml:space="preserve"> </w:t>
      </w:r>
      <w:r w:rsidRPr="00A77DCC">
        <w:rPr>
          <w:lang w:val="en-GB"/>
        </w:rPr>
        <w:sym w:font="Wingdings" w:char="F0E0"/>
      </w:r>
      <w:r>
        <w:rPr>
          <w:lang w:val="en-GB"/>
        </w:rPr>
        <w:t xml:space="preserve"> BWP</w:t>
      </w:r>
      <w:r w:rsidR="000B55FD">
        <w:rPr>
          <w:lang w:val="en-GB"/>
        </w:rPr>
        <w:t>1</w:t>
      </w:r>
      <w:r>
        <w:rPr>
          <w:lang w:val="en-GB"/>
        </w:rPr>
        <w:t xml:space="preserve"> </w:t>
      </w:r>
      <w:r w:rsidRPr="00A77DCC">
        <w:rPr>
          <w:lang w:val="en-GB"/>
        </w:rPr>
        <w:sym w:font="Wingdings" w:char="F0E0"/>
      </w:r>
      <w:r>
        <w:rPr>
          <w:lang w:val="en-GB"/>
        </w:rPr>
        <w:t xml:space="preserve"> BWP</w:t>
      </w:r>
      <w:r w:rsidR="000B55FD">
        <w:rPr>
          <w:lang w:val="en-GB"/>
        </w:rPr>
        <w:t>2</w:t>
      </w:r>
      <w:r>
        <w:rPr>
          <w:lang w:val="en-GB"/>
        </w:rPr>
        <w:t xml:space="preserve"> </w:t>
      </w:r>
      <w:r w:rsidRPr="00A77DCC">
        <w:rPr>
          <w:lang w:val="en-GB"/>
        </w:rPr>
        <w:sym w:font="Wingdings" w:char="F0E0"/>
      </w:r>
      <w:r>
        <w:rPr>
          <w:lang w:val="en-GB"/>
        </w:rPr>
        <w:t xml:space="preserve"> BWP</w:t>
      </w:r>
      <w:r w:rsidR="000B55FD">
        <w:rPr>
          <w:lang w:val="en-GB"/>
        </w:rPr>
        <w:t>0</w:t>
      </w:r>
      <w:r w:rsidR="00947DA4">
        <w:rPr>
          <w:lang w:val="en-GB"/>
        </w:rPr>
        <w:t>:</w:t>
      </w:r>
    </w:p>
    <w:p w14:paraId="67F654D9" w14:textId="36CD697F" w:rsidR="00A77DCC" w:rsidRDefault="003861FA" w:rsidP="00947DA4">
      <w:pPr>
        <w:jc w:val="center"/>
        <w:rPr>
          <w:lang w:val="en-GB"/>
        </w:rPr>
      </w:pPr>
      <w:r w:rsidRPr="003861FA">
        <w:rPr>
          <w:noProof/>
        </w:rPr>
        <w:drawing>
          <wp:inline distT="0" distB="0" distL="0" distR="0" wp14:anchorId="0155058E" wp14:editId="0F09BD3F">
            <wp:extent cx="4873752" cy="1444752"/>
            <wp:effectExtent l="0" t="0" r="317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873752" cy="1444752"/>
                    </a:xfrm>
                    <a:prstGeom prst="rect">
                      <a:avLst/>
                    </a:prstGeom>
                  </pic:spPr>
                </pic:pic>
              </a:graphicData>
            </a:graphic>
          </wp:inline>
        </w:drawing>
      </w:r>
    </w:p>
    <w:p w14:paraId="56CF77D0" w14:textId="77777777" w:rsidR="00591A92" w:rsidRDefault="00591A92" w:rsidP="00C32157">
      <w:pPr>
        <w:rPr>
          <w:lang w:val="en-GB"/>
        </w:rPr>
      </w:pPr>
    </w:p>
    <w:p w14:paraId="2FEF77EE" w14:textId="3FD2F01E" w:rsidR="00FB4D00" w:rsidRDefault="00FB4D00" w:rsidP="00C32157">
      <w:pPr>
        <w:rPr>
          <w:lang w:val="en-GB"/>
        </w:rPr>
      </w:pPr>
      <w:r>
        <w:rPr>
          <w:lang w:val="en-GB"/>
        </w:rPr>
        <w:t xml:space="preserve">During transition from BWP0 to BWP1, </w:t>
      </w:r>
      <w:r w:rsidR="009B6DF6">
        <w:rPr>
          <w:lang w:val="en-GB"/>
        </w:rPr>
        <w:t>Table1 which contains 3 rows is used, but the time-domain RA field of BWP0 contains only 1 bit. As a result, only one of the first two rows can be selected as k0 for scheduling of PDSCH and BWP transition; The 3</w:t>
      </w:r>
      <w:r w:rsidR="009B6DF6" w:rsidRPr="009B6DF6">
        <w:rPr>
          <w:vertAlign w:val="superscript"/>
          <w:lang w:val="en-GB"/>
        </w:rPr>
        <w:t>rd</w:t>
      </w:r>
      <w:r w:rsidR="009B6DF6">
        <w:rPr>
          <w:lang w:val="en-GB"/>
        </w:rPr>
        <w:t xml:space="preserve"> row is not addressable during this transition. During transition from BWP1 to BWP2, Table2 which contains 2 rows is used, but the time-domain RA field of BWP1 contains 2 bits; As a result, only the lower bit is used for addressing Table 2, and the upper bit is dropped.</w:t>
      </w:r>
    </w:p>
    <w:p w14:paraId="56AB047D" w14:textId="440D7236" w:rsidR="002E29D7" w:rsidRDefault="00591A92" w:rsidP="00C32157">
      <w:pPr>
        <w:rPr>
          <w:lang w:val="en-GB"/>
        </w:rPr>
      </w:pPr>
      <w:r>
        <w:rPr>
          <w:lang w:val="en-GB"/>
        </w:rPr>
        <w:t xml:space="preserve">Although not illustrated, </w:t>
      </w:r>
      <w:r w:rsidR="00B2188D">
        <w:rPr>
          <w:lang w:val="en-GB"/>
        </w:rPr>
        <w:t xml:space="preserve">transition between </w:t>
      </w:r>
      <w:r>
        <w:rPr>
          <w:lang w:val="en-GB"/>
        </w:rPr>
        <w:t xml:space="preserve">BWP0 </w:t>
      </w:r>
      <w:r w:rsidR="00B2188D">
        <w:rPr>
          <w:lang w:val="en-GB"/>
        </w:rPr>
        <w:t xml:space="preserve">and </w:t>
      </w:r>
      <w:r>
        <w:rPr>
          <w:lang w:val="en-GB"/>
        </w:rPr>
        <w:t>BWP2 is also feasible and because the time-domain RA fields are same size (2-bit) for BWP0 and BWP2, no transformation to the field content needs to be applied.</w:t>
      </w:r>
    </w:p>
    <w:p w14:paraId="171385ED" w14:textId="77777777" w:rsidR="00EB716B" w:rsidRPr="00D92F7C" w:rsidRDefault="00EB716B" w:rsidP="001437FC">
      <w:pPr>
        <w:rPr>
          <w:lang w:val="en-GB"/>
        </w:rPr>
      </w:pPr>
    </w:p>
    <w:p w14:paraId="4FC955BF" w14:textId="4451650D" w:rsidR="006A5F67" w:rsidRDefault="00DD1795" w:rsidP="006A5F67">
      <w:pPr>
        <w:pStyle w:val="Heading2"/>
      </w:pPr>
      <w:r>
        <w:t xml:space="preserve">Other </w:t>
      </w:r>
      <w:r w:rsidR="006A5F67">
        <w:t>Remaining Issues on BWP</w:t>
      </w:r>
    </w:p>
    <w:p w14:paraId="019E7CAB" w14:textId="214233AA" w:rsidR="00AA62FE" w:rsidRPr="00AA62FE" w:rsidRDefault="00AA62FE" w:rsidP="00AA62FE">
      <w:pPr>
        <w:rPr>
          <w:lang w:val="en-GB"/>
        </w:rPr>
      </w:pPr>
    </w:p>
    <w:p w14:paraId="77A5AABC" w14:textId="77777777" w:rsidR="009713ED" w:rsidRDefault="009713ED" w:rsidP="009713ED">
      <w:pPr>
        <w:pStyle w:val="Heading3"/>
      </w:pPr>
      <w:bookmarkStart w:id="17" w:name="_Ref506512240"/>
      <w:bookmarkStart w:id="18" w:name="_Ref506512164"/>
      <w:r>
        <w:t xml:space="preserve">BWP Transition </w:t>
      </w:r>
      <w:bookmarkEnd w:id="17"/>
      <w:r>
        <w:t>Rules</w:t>
      </w:r>
    </w:p>
    <w:p w14:paraId="2993F060" w14:textId="288DF075" w:rsidR="009713ED" w:rsidRDefault="009713ED" w:rsidP="009713ED">
      <w:pPr>
        <w:rPr>
          <w:lang w:val="en-GB"/>
        </w:rPr>
      </w:pPr>
      <w:r>
        <w:rPr>
          <w:lang w:val="en-GB"/>
        </w:rPr>
        <w:t xml:space="preserve">In RAN1 #92, the following agreements have been made to clarify some details regarding BWP transition </w:t>
      </w:r>
      <w:r>
        <w:rPr>
          <w:lang w:val="en-GB"/>
        </w:rPr>
        <w:fldChar w:fldCharType="begin"/>
      </w:r>
      <w:r>
        <w:rPr>
          <w:lang w:val="en-GB"/>
        </w:rPr>
        <w:instrText xml:space="preserve"> REF _Ref510358192 \r \h </w:instrText>
      </w:r>
      <w:r>
        <w:rPr>
          <w:lang w:val="en-GB"/>
        </w:rPr>
      </w:r>
      <w:r>
        <w:rPr>
          <w:lang w:val="en-GB"/>
        </w:rPr>
        <w:fldChar w:fldCharType="separate"/>
      </w:r>
      <w:r w:rsidR="006240DB">
        <w:rPr>
          <w:lang w:val="en-GB"/>
        </w:rPr>
        <w:t>[10]</w:t>
      </w:r>
      <w:r>
        <w:rPr>
          <w:lang w:val="en-GB"/>
        </w:rPr>
        <w:fldChar w:fldCharType="end"/>
      </w:r>
      <w:r>
        <w:rPr>
          <w:lang w:val="en-GB"/>
        </w:rPr>
        <w:t>.</w:t>
      </w:r>
    </w:p>
    <w:p w14:paraId="2B7952F1" w14:textId="77777777" w:rsidR="009713ED" w:rsidRPr="00AF1A70" w:rsidRDefault="009713ED" w:rsidP="009713ED">
      <w:pPr>
        <w:rPr>
          <w:b/>
          <w:lang w:eastAsia="x-none"/>
        </w:rPr>
      </w:pPr>
      <w:r w:rsidRPr="00AF1A70">
        <w:rPr>
          <w:highlight w:val="green"/>
          <w:lang w:eastAsia="x-none"/>
        </w:rPr>
        <w:t>Agreements</w:t>
      </w:r>
      <w:r w:rsidRPr="00AF1A70">
        <w:rPr>
          <w:b/>
          <w:lang w:eastAsia="x-none"/>
        </w:rPr>
        <w:t>:</w:t>
      </w:r>
    </w:p>
    <w:p w14:paraId="686FA6A3" w14:textId="77777777" w:rsidR="009713ED" w:rsidRPr="00AF1A70" w:rsidRDefault="009713ED" w:rsidP="001575A7">
      <w:pPr>
        <w:numPr>
          <w:ilvl w:val="0"/>
          <w:numId w:val="22"/>
        </w:numPr>
        <w:overflowPunct/>
        <w:autoSpaceDE/>
        <w:autoSpaceDN/>
        <w:adjustRightInd/>
        <w:spacing w:after="0"/>
        <w:ind w:left="567" w:hanging="207"/>
        <w:textAlignment w:val="auto"/>
      </w:pPr>
      <w:r w:rsidRPr="00AF1A70">
        <w:t xml:space="preserve">A UE is not expected to receive </w:t>
      </w:r>
      <w:r w:rsidRPr="00AF1A70">
        <w:rPr>
          <w:lang w:eastAsia="zh-TW"/>
        </w:rPr>
        <w:t>DL signals or transmit UL signals during the transition time of active DL or UL BWP switch</w:t>
      </w:r>
    </w:p>
    <w:p w14:paraId="1E58B92C" w14:textId="77777777" w:rsidR="009713ED" w:rsidRPr="00AF1A70" w:rsidRDefault="009713ED" w:rsidP="001575A7">
      <w:pPr>
        <w:numPr>
          <w:ilvl w:val="1"/>
          <w:numId w:val="22"/>
        </w:numPr>
        <w:overflowPunct/>
        <w:autoSpaceDE/>
        <w:autoSpaceDN/>
        <w:adjustRightInd/>
        <w:spacing w:after="0"/>
        <w:textAlignment w:val="auto"/>
      </w:pPr>
      <w:r w:rsidRPr="00AF1A70">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4CC48D6C" w14:textId="77777777" w:rsidR="009713ED" w:rsidRDefault="009713ED" w:rsidP="001575A7">
      <w:pPr>
        <w:numPr>
          <w:ilvl w:val="1"/>
          <w:numId w:val="22"/>
        </w:numPr>
        <w:overflowPunct/>
        <w:autoSpaceDE/>
        <w:autoSpaceDN/>
        <w:adjustRightInd/>
        <w:spacing w:after="0"/>
        <w:textAlignment w:val="auto"/>
      </w:pPr>
      <w:r w:rsidRPr="00AF1A70">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AF1A70">
        <w:rPr>
          <w:lang w:eastAsia="zh-TW"/>
        </w:rPr>
        <w:t>DL signals or transmit UL signals in the default DL BWP for paired spectrum or the default DL or UL BWP for unpaired spectrum</w:t>
      </w:r>
    </w:p>
    <w:p w14:paraId="2B724A2B" w14:textId="77777777" w:rsidR="009713ED" w:rsidRPr="00AF1A70" w:rsidRDefault="009713ED" w:rsidP="009713ED">
      <w:pPr>
        <w:overflowPunct/>
        <w:autoSpaceDE/>
        <w:autoSpaceDN/>
        <w:adjustRightInd/>
        <w:spacing w:after="0"/>
        <w:textAlignment w:val="auto"/>
      </w:pPr>
    </w:p>
    <w:p w14:paraId="5A94169B" w14:textId="77777777" w:rsidR="009713ED" w:rsidRPr="00AF1A70" w:rsidRDefault="009713ED" w:rsidP="009713ED">
      <w:pPr>
        <w:rPr>
          <w:highlight w:val="green"/>
          <w:lang w:eastAsia="zh-TW"/>
        </w:rPr>
      </w:pPr>
      <w:r w:rsidRPr="00AF1A70">
        <w:rPr>
          <w:highlight w:val="green"/>
          <w:lang w:eastAsia="zh-TW"/>
        </w:rPr>
        <w:t>Agreements:</w:t>
      </w:r>
    </w:p>
    <w:p w14:paraId="7E3420FB" w14:textId="77777777" w:rsidR="009713ED" w:rsidRDefault="009713ED" w:rsidP="001575A7">
      <w:pPr>
        <w:numPr>
          <w:ilvl w:val="0"/>
          <w:numId w:val="24"/>
        </w:numPr>
        <w:overflowPunct/>
        <w:autoSpaceDE/>
        <w:autoSpaceDN/>
        <w:adjustRightInd/>
        <w:spacing w:after="0"/>
        <w:ind w:left="567" w:hanging="207"/>
        <w:textAlignment w:val="auto"/>
        <w:rPr>
          <w:lang w:eastAsia="zh-TW"/>
        </w:rPr>
      </w:pPr>
      <w:r w:rsidRPr="00AF1A70">
        <w:rPr>
          <w:lang w:eastAsia="zh-TW"/>
        </w:rPr>
        <w:t>A UE is not expected to receive a DCI indicating active DL (UL) BWP change in OFDM symbols other than the first 3 OFDM symbols of a slot</w:t>
      </w:r>
    </w:p>
    <w:p w14:paraId="30E233DF" w14:textId="77777777" w:rsidR="009713ED" w:rsidRDefault="009713ED" w:rsidP="009713ED">
      <w:pPr>
        <w:rPr>
          <w:lang w:val="en-GB"/>
        </w:rPr>
      </w:pPr>
    </w:p>
    <w:p w14:paraId="6BD62966" w14:textId="0E13AC0B" w:rsidR="009713ED" w:rsidRDefault="009713ED" w:rsidP="009713ED">
      <w:pPr>
        <w:rPr>
          <w:lang w:val="en-GB"/>
        </w:rPr>
      </w:pPr>
      <w:r>
        <w:rPr>
          <w:lang w:val="en-GB"/>
        </w:rPr>
        <w:t>The objective of the above agreements is to keep the complexity of BWP switch in check. Along the same objective, to avoid complicated conflicts due to multiple BWP switch DCI overlapping with each other, BWP switching should be serialized and some portion of the timeline should be protected from being intercepted by another BWP switching event. We will define a period of time when a BWP switch DCI is “in effect”, and during this time, no other BWP switch DCI is expected.</w:t>
      </w:r>
      <w:r w:rsidR="005F3671">
        <w:rPr>
          <w:lang w:val="en-GB"/>
        </w:rPr>
        <w:t xml:space="preserve"> This period of time can also be considered a “critical section”, i.e. no interruption by another BWP switch DCI is expected during the period.</w:t>
      </w:r>
      <w:r w:rsidR="00211CC9">
        <w:rPr>
          <w:lang w:val="en-GB"/>
        </w:rPr>
        <w:t xml:space="preserve"> </w:t>
      </w:r>
    </w:p>
    <w:p w14:paraId="0387C3C8" w14:textId="6028A269" w:rsidR="009713ED" w:rsidRDefault="009713ED" w:rsidP="009713ED">
      <w:r>
        <w:t xml:space="preserve">One aspect that remains to be clarified is when and how gNB can confirm that UE has decoded the BWP switch DCI and performed the BWP switch. In order to prevent BWP switch DCIs from overlapping with each other, when a BWP switch DCI is “in effect”, another BWP switch DCI should not be issued. Also, to avoid ambiguity with the active BWP, gNB should </w:t>
      </w:r>
      <w:r w:rsidR="000A7B18">
        <w:t>avoid</w:t>
      </w:r>
      <w:r w:rsidR="000A7B18">
        <w:t xml:space="preserve"> </w:t>
      </w:r>
      <w:r>
        <w:t>issu</w:t>
      </w:r>
      <w:r w:rsidR="000A7B18">
        <w:t>ing</w:t>
      </w:r>
      <w:r>
        <w:t xml:space="preserve"> another BWP switch DCI until it has confirmed that UE has processed a previously issued BWP switch DCI and performed the switch.</w:t>
      </w:r>
    </w:p>
    <w:p w14:paraId="0A6E88E8" w14:textId="77777777" w:rsidR="009713ED" w:rsidRDefault="009713ED" w:rsidP="009713ED">
      <w:r>
        <w:t>It is important to consider how gNB can confirm that BWP transition has successfully taken place at the UE. Conceptually, gNB and UE must have a “full handshake” regarding BWP switch in order for both to be in sync. The following is one way that such “full handshake” can be achieved:</w:t>
      </w:r>
    </w:p>
    <w:p w14:paraId="4D86D711" w14:textId="77777777" w:rsidR="009713ED" w:rsidRDefault="009713ED" w:rsidP="001575A7">
      <w:pPr>
        <w:pStyle w:val="ListParagraph"/>
        <w:numPr>
          <w:ilvl w:val="0"/>
          <w:numId w:val="16"/>
        </w:numPr>
      </w:pPr>
      <w:r>
        <w:t xml:space="preserve">For BWP switch indicated by DCI Format 1-1, gNB can confirm that BWP switch has been performed by the UE when it receives HARQ-ACK feedback for the scheduled PDSCH. Either ACK or NAK can confirm the switch. </w:t>
      </w:r>
    </w:p>
    <w:p w14:paraId="48F57626" w14:textId="77777777" w:rsidR="009713ED" w:rsidRDefault="009713ED" w:rsidP="001575A7">
      <w:pPr>
        <w:pStyle w:val="ListParagraph"/>
        <w:numPr>
          <w:ilvl w:val="0"/>
          <w:numId w:val="16"/>
        </w:numPr>
      </w:pPr>
      <w:r>
        <w:t>For BWP switch indicated by DCI Format 0-1, gNB can confirm that BWP switch has been performed by the UE when it decodes the scheduled PUSCH in the new UL BWP.</w:t>
      </w:r>
    </w:p>
    <w:p w14:paraId="0BC27AE1" w14:textId="77777777" w:rsidR="009713ED" w:rsidRDefault="009713ED" w:rsidP="009713ED">
      <w:r>
        <w:t>Above should be the basis for defining the time period for BWP switch DCI to be “in effect”:</w:t>
      </w:r>
    </w:p>
    <w:p w14:paraId="3EF0D2DE" w14:textId="30F65336" w:rsidR="009713ED" w:rsidRDefault="009713ED" w:rsidP="009713ED">
      <w:pPr>
        <w:pStyle w:val="Caption"/>
      </w:pPr>
      <w:bookmarkStart w:id="19" w:name="_Ref510743587"/>
      <w:bookmarkStart w:id="20" w:name="_Toc510816466"/>
      <w:r>
        <w:t xml:space="preserve">Proposal </w:t>
      </w:r>
      <w:fldSimple w:instr=" SEQ Proposal \* ARABIC ">
        <w:r w:rsidR="006240DB">
          <w:rPr>
            <w:noProof/>
          </w:rPr>
          <w:t>8</w:t>
        </w:r>
      </w:fldSimple>
      <w:bookmarkEnd w:id="19"/>
      <w:r>
        <w:t xml:space="preserve">: DCI Format 1-1 indicating BWP switch is considered to be in effect from the start of the BWP transition time to the end of the last symbol of the </w:t>
      </w:r>
      <w:r w:rsidR="00173ECF">
        <w:t xml:space="preserve">expected </w:t>
      </w:r>
      <w:r>
        <w:t>HARQ-ACK corresponding to the PDSCH scheduled by the DCI.</w:t>
      </w:r>
      <w:bookmarkEnd w:id="20"/>
    </w:p>
    <w:p w14:paraId="37D67347" w14:textId="1420CD56" w:rsidR="009713ED" w:rsidRPr="00E61682" w:rsidRDefault="009713ED" w:rsidP="009713ED">
      <w:pPr>
        <w:pStyle w:val="Caption"/>
      </w:pPr>
      <w:bookmarkStart w:id="21" w:name="_Ref510743612"/>
      <w:bookmarkStart w:id="22" w:name="_Toc510816467"/>
      <w:r>
        <w:t xml:space="preserve">Proposal </w:t>
      </w:r>
      <w:fldSimple w:instr=" SEQ Proposal \* ARABIC ">
        <w:r w:rsidR="006240DB">
          <w:rPr>
            <w:noProof/>
          </w:rPr>
          <w:t>9</w:t>
        </w:r>
      </w:fldSimple>
      <w:bookmarkEnd w:id="21"/>
      <w:r>
        <w:t xml:space="preserve">: DCI Format 0-1 indicating BWP switch is considered to be in effect from the start of the BWP transition time to the end of the last symbol of the </w:t>
      </w:r>
      <w:r w:rsidR="009769A0">
        <w:t xml:space="preserve">expected </w:t>
      </w:r>
      <w:r>
        <w:t>PUSCH scheduled by the DCI.</w:t>
      </w:r>
      <w:bookmarkEnd w:id="22"/>
    </w:p>
    <w:p w14:paraId="39114276" w14:textId="77777777" w:rsidR="009713ED" w:rsidRDefault="009713ED" w:rsidP="009713ED">
      <w:r>
        <w:t>Note: BWP transition time is defined in aforementioned RAN1 #92 agreement.</w:t>
      </w:r>
    </w:p>
    <w:p w14:paraId="662F7046" w14:textId="2151FDF4" w:rsidR="009713ED" w:rsidRDefault="009713ED" w:rsidP="009713ED"/>
    <w:p w14:paraId="44F30B3D" w14:textId="712A5244" w:rsidR="009713ED" w:rsidRDefault="009713ED" w:rsidP="009713ED">
      <w:pPr>
        <w:pStyle w:val="Caption"/>
      </w:pPr>
      <w:bookmarkStart w:id="23" w:name="_Ref510743590"/>
      <w:bookmarkStart w:id="24" w:name="_Toc510816468"/>
      <w:r>
        <w:t xml:space="preserve">Proposal </w:t>
      </w:r>
      <w:fldSimple w:instr=" SEQ Proposal \* ARABIC ">
        <w:r w:rsidR="006240DB">
          <w:rPr>
            <w:noProof/>
          </w:rPr>
          <w:t>10</w:t>
        </w:r>
      </w:fldSimple>
      <w:bookmarkEnd w:id="23"/>
      <w:r>
        <w:t xml:space="preserve">: When a BWP switch DCI </w:t>
      </w:r>
      <w:r w:rsidR="005A5FD7">
        <w:t xml:space="preserve">for any link direction </w:t>
      </w:r>
      <w:r>
        <w:t>is in effect, UE does not expect to receive another BWP switch DCI</w:t>
      </w:r>
      <w:r w:rsidR="005A5FD7">
        <w:t xml:space="preserve"> for the same or the other link direction</w:t>
      </w:r>
      <w:r>
        <w:t>.</w:t>
      </w:r>
      <w:bookmarkEnd w:id="24"/>
    </w:p>
    <w:p w14:paraId="2AC1483A" w14:textId="492FCA4E" w:rsidR="00682ACE" w:rsidRDefault="00682ACE" w:rsidP="00C03AAB">
      <w:pPr>
        <w:pStyle w:val="Caption"/>
      </w:pPr>
    </w:p>
    <w:p w14:paraId="70FF11E8" w14:textId="5CF8B9CB" w:rsidR="00AA7312" w:rsidRDefault="00AA7312" w:rsidP="00682ACE">
      <w:r>
        <w:t>Based on above proposals, it can be interpreted that for unpaired spectrum, at most only one BWP switch DCI is expected in any given slot. Furthermore, at most only one BWP switch DCI can be in effect at any time.</w:t>
      </w:r>
    </w:p>
    <w:p w14:paraId="0F44427E" w14:textId="6D13EA48" w:rsidR="00682ACE" w:rsidRDefault="00682ACE" w:rsidP="00682ACE">
      <w:pPr>
        <w:rPr>
          <w:lang w:val="en-GB"/>
        </w:rPr>
      </w:pPr>
      <w:r>
        <w:t xml:space="preserve">Some more clarification is needed for paired spectrum. </w:t>
      </w:r>
      <w:r>
        <w:rPr>
          <w:lang w:val="en-GB"/>
        </w:rPr>
        <w:t xml:space="preserve">For paired spectrum, there may be some timeline benefit in supporting both DL BWP switch DCI and a UL BWP switch DCI </w:t>
      </w:r>
      <w:r w:rsidR="00AB0E94">
        <w:rPr>
          <w:lang w:val="en-GB"/>
        </w:rPr>
        <w:t xml:space="preserve">together </w:t>
      </w:r>
      <w:r>
        <w:rPr>
          <w:lang w:val="en-GB"/>
        </w:rPr>
        <w:t xml:space="preserve">in the same slot, in the sense that BWP can switch simultaneously in both link directions. </w:t>
      </w:r>
      <w:r w:rsidR="00C03AAB">
        <w:rPr>
          <w:lang w:val="en-GB"/>
        </w:rPr>
        <w:t xml:space="preserve">Switching BWP on both link directions simultaneously is already supported for unpaired spectrum because </w:t>
      </w:r>
      <w:r w:rsidR="00CC2F39">
        <w:rPr>
          <w:lang w:val="en-GB"/>
        </w:rPr>
        <w:t>BWP switch on one link direction would implicitly trigger BWP switch on the other link direction based on BWP pairing</w:t>
      </w:r>
      <w:r w:rsidR="00C03AAB">
        <w:rPr>
          <w:lang w:val="en-GB"/>
        </w:rPr>
        <w:t xml:space="preserve">. </w:t>
      </w:r>
      <w:r w:rsidR="004C7798">
        <w:rPr>
          <w:lang w:val="en-GB"/>
        </w:rPr>
        <w:t>One</w:t>
      </w:r>
      <w:r w:rsidR="00CC2F39">
        <w:rPr>
          <w:lang w:val="en-GB"/>
        </w:rPr>
        <w:t xml:space="preserve"> difference is that for paired spectrum, explicit DCIs for switching on both directions would be used. </w:t>
      </w:r>
      <w:r>
        <w:rPr>
          <w:lang w:val="en-GB"/>
        </w:rPr>
        <w:t xml:space="preserve">This </w:t>
      </w:r>
      <w:r w:rsidR="00AB0E94">
        <w:rPr>
          <w:lang w:val="en-GB"/>
        </w:rPr>
        <w:t>does not violate</w:t>
      </w:r>
      <w:r>
        <w:rPr>
          <w:lang w:val="en-GB"/>
        </w:rPr>
        <w:t xml:space="preserve"> above proposals (</w:t>
      </w:r>
      <w:r w:rsidR="007F42D5">
        <w:rPr>
          <w:lang w:val="en-GB"/>
        </w:rPr>
        <w:fldChar w:fldCharType="begin"/>
      </w:r>
      <w:r w:rsidR="007F42D5">
        <w:rPr>
          <w:lang w:val="en-GB"/>
        </w:rPr>
        <w:instrText xml:space="preserve"> REF _Ref510743587 \h </w:instrText>
      </w:r>
      <w:r w:rsidR="007F42D5">
        <w:rPr>
          <w:lang w:val="en-GB"/>
        </w:rPr>
      </w:r>
      <w:r w:rsidR="007F42D5">
        <w:rPr>
          <w:lang w:val="en-GB"/>
        </w:rPr>
        <w:fldChar w:fldCharType="separate"/>
      </w:r>
      <w:r w:rsidR="006240DB">
        <w:t xml:space="preserve">Proposal </w:t>
      </w:r>
      <w:r w:rsidR="006240DB">
        <w:rPr>
          <w:noProof/>
        </w:rPr>
        <w:t>8</w:t>
      </w:r>
      <w:r w:rsidR="007F42D5">
        <w:rPr>
          <w:lang w:val="en-GB"/>
        </w:rPr>
        <w:fldChar w:fldCharType="end"/>
      </w:r>
      <w:r w:rsidR="007F42D5">
        <w:rPr>
          <w:lang w:val="en-GB"/>
        </w:rPr>
        <w:t xml:space="preserve">, </w:t>
      </w:r>
      <w:r w:rsidR="007F42D5">
        <w:rPr>
          <w:lang w:val="en-GB"/>
        </w:rPr>
        <w:fldChar w:fldCharType="begin"/>
      </w:r>
      <w:r w:rsidR="007F42D5">
        <w:rPr>
          <w:lang w:val="en-GB"/>
        </w:rPr>
        <w:instrText xml:space="preserve"> REF _Ref510743612 \h </w:instrText>
      </w:r>
      <w:r w:rsidR="007F42D5">
        <w:rPr>
          <w:lang w:val="en-GB"/>
        </w:rPr>
      </w:r>
      <w:r w:rsidR="007F42D5">
        <w:rPr>
          <w:lang w:val="en-GB"/>
        </w:rPr>
        <w:fldChar w:fldCharType="separate"/>
      </w:r>
      <w:r w:rsidR="006240DB">
        <w:t xml:space="preserve">Proposal </w:t>
      </w:r>
      <w:r w:rsidR="006240DB">
        <w:rPr>
          <w:noProof/>
        </w:rPr>
        <w:t>9</w:t>
      </w:r>
      <w:r w:rsidR="007F42D5">
        <w:rPr>
          <w:lang w:val="en-GB"/>
        </w:rPr>
        <w:fldChar w:fldCharType="end"/>
      </w:r>
      <w:r w:rsidR="000A7B18">
        <w:rPr>
          <w:lang w:val="en-GB"/>
        </w:rPr>
        <w:t>,</w:t>
      </w:r>
      <w:r w:rsidR="007F42D5">
        <w:rPr>
          <w:lang w:val="en-GB"/>
        </w:rPr>
        <w:t xml:space="preserve"> </w:t>
      </w:r>
      <w:r w:rsidR="007F42D5">
        <w:rPr>
          <w:lang w:val="en-GB"/>
        </w:rPr>
        <w:fldChar w:fldCharType="begin"/>
      </w:r>
      <w:r w:rsidR="007F42D5">
        <w:rPr>
          <w:lang w:val="en-GB"/>
        </w:rPr>
        <w:instrText xml:space="preserve"> REF _Ref510743590 \h </w:instrText>
      </w:r>
      <w:r w:rsidR="007F42D5">
        <w:rPr>
          <w:lang w:val="en-GB"/>
        </w:rPr>
      </w:r>
      <w:r w:rsidR="007F42D5">
        <w:rPr>
          <w:lang w:val="en-GB"/>
        </w:rPr>
        <w:fldChar w:fldCharType="separate"/>
      </w:r>
      <w:r w:rsidR="006240DB">
        <w:t xml:space="preserve">Proposal </w:t>
      </w:r>
      <w:r w:rsidR="006240DB">
        <w:rPr>
          <w:noProof/>
        </w:rPr>
        <w:t>10</w:t>
      </w:r>
      <w:r w:rsidR="007F42D5">
        <w:rPr>
          <w:lang w:val="en-GB"/>
        </w:rPr>
        <w:fldChar w:fldCharType="end"/>
      </w:r>
      <w:r>
        <w:rPr>
          <w:lang w:val="en-GB"/>
        </w:rPr>
        <w:t>)</w:t>
      </w:r>
      <w:r w:rsidR="007F42D5">
        <w:rPr>
          <w:lang w:val="en-GB"/>
        </w:rPr>
        <w:t xml:space="preserve"> because </w:t>
      </w:r>
      <w:r w:rsidR="00AB0E94">
        <w:rPr>
          <w:lang w:val="en-GB"/>
        </w:rPr>
        <w:t>strictly speaking, a BWP switch DCI is in effect starting at the end of the symbol carrying the PDCCH</w:t>
      </w:r>
      <w:r w:rsidR="007F42D5">
        <w:rPr>
          <w:lang w:val="en-GB"/>
        </w:rPr>
        <w:t>. This would be the only scenario where more than one BWP switch DCI can be in effect at the same time.</w:t>
      </w:r>
      <w:r w:rsidR="00AB0E94">
        <w:rPr>
          <w:lang w:val="en-GB"/>
        </w:rPr>
        <w:t xml:space="preserve"> </w:t>
      </w:r>
    </w:p>
    <w:p w14:paraId="48B792FF" w14:textId="11F57D89" w:rsidR="00682ACE" w:rsidRDefault="00F07F2E" w:rsidP="00682ACE">
      <w:pPr>
        <w:jc w:val="center"/>
        <w:rPr>
          <w:lang w:val="en-GB"/>
        </w:rPr>
      </w:pPr>
      <w:r w:rsidRPr="00F07F2E">
        <w:rPr>
          <w:noProof/>
        </w:rPr>
        <w:drawing>
          <wp:inline distT="0" distB="0" distL="0" distR="0" wp14:anchorId="11DDB076" wp14:editId="4556B9E2">
            <wp:extent cx="2157984" cy="2322576"/>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57984" cy="2322576"/>
                    </a:xfrm>
                    <a:prstGeom prst="rect">
                      <a:avLst/>
                    </a:prstGeom>
                  </pic:spPr>
                </pic:pic>
              </a:graphicData>
            </a:graphic>
          </wp:inline>
        </w:drawing>
      </w:r>
    </w:p>
    <w:p w14:paraId="3DBF0AF6" w14:textId="72C17949" w:rsidR="00682ACE" w:rsidRDefault="007F42D5" w:rsidP="00D35815">
      <w:pPr>
        <w:pStyle w:val="Caption"/>
      </w:pPr>
      <w:bookmarkStart w:id="25" w:name="_Toc510816469"/>
      <w:r>
        <w:t xml:space="preserve">Proposal </w:t>
      </w:r>
      <w:fldSimple w:instr=" SEQ Proposal \* ARABIC ">
        <w:r w:rsidR="006240DB">
          <w:rPr>
            <w:noProof/>
          </w:rPr>
          <w:t>11</w:t>
        </w:r>
      </w:fldSimple>
      <w:r>
        <w:t>: For paired spectrum,</w:t>
      </w:r>
      <w:r w:rsidR="00AB0E94">
        <w:t xml:space="preserve"> DL BWP switch DCI and UL BWP switch DCI </w:t>
      </w:r>
      <w:r w:rsidR="00333B13">
        <w:t xml:space="preserve">can be supported together in the same slot to switch </w:t>
      </w:r>
      <w:r w:rsidR="008E2946">
        <w:t xml:space="preserve">BWP on </w:t>
      </w:r>
      <w:r w:rsidR="00333B13">
        <w:t>both link directions simultaneously.</w:t>
      </w:r>
      <w:bookmarkEnd w:id="25"/>
      <w:r>
        <w:t xml:space="preserve"> </w:t>
      </w:r>
    </w:p>
    <w:p w14:paraId="1B945DEE" w14:textId="130457A6" w:rsidR="00682ACE" w:rsidRDefault="00682ACE" w:rsidP="009713ED"/>
    <w:p w14:paraId="28A33DC5" w14:textId="11EB796D" w:rsidR="00AB0E94" w:rsidRDefault="00AB0E94" w:rsidP="009713ED">
      <w:pPr>
        <w:rPr>
          <w:lang w:val="en-GB"/>
        </w:rPr>
      </w:pPr>
      <w:r>
        <w:rPr>
          <w:lang w:val="en-GB"/>
        </w:rPr>
        <w:t xml:space="preserve">Per above proposals, if DL BWP switch DCI is transmitted in slot n, UE is not expected to receive UL BWP switch DCI in slot n+1 </w:t>
      </w:r>
      <w:r w:rsidR="000756A2">
        <w:rPr>
          <w:lang w:val="en-GB"/>
        </w:rPr>
        <w:t xml:space="preserve">and </w:t>
      </w:r>
      <w:r>
        <w:rPr>
          <w:lang w:val="en-GB"/>
        </w:rPr>
        <w:t>until the DL BWP switch DCI is no longer in effect.</w:t>
      </w:r>
      <w:r w:rsidR="00333B13">
        <w:rPr>
          <w:lang w:val="en-GB"/>
        </w:rPr>
        <w:t xml:space="preserve"> Similarly, if a UL BWP switch DCI is already in effect, UE is not expected to receive a DL BWP switch DCI. For example, the following </w:t>
      </w:r>
      <w:r w:rsidR="00AA7312">
        <w:rPr>
          <w:lang w:val="en-GB"/>
        </w:rPr>
        <w:t xml:space="preserve">conflict </w:t>
      </w:r>
      <w:r w:rsidR="00333B13">
        <w:rPr>
          <w:lang w:val="en-GB"/>
        </w:rPr>
        <w:t xml:space="preserve">scenario would be </w:t>
      </w:r>
      <w:r w:rsidR="004C7798">
        <w:rPr>
          <w:lang w:val="en-GB"/>
        </w:rPr>
        <w:t xml:space="preserve">disallowed </w:t>
      </w:r>
      <w:r w:rsidR="00333B13">
        <w:rPr>
          <w:lang w:val="en-GB"/>
        </w:rPr>
        <w:t>by above proposals.</w:t>
      </w:r>
    </w:p>
    <w:p w14:paraId="013D885C" w14:textId="4C8E64EF" w:rsidR="000756A2" w:rsidRDefault="00972FC5" w:rsidP="00D35815">
      <w:pPr>
        <w:jc w:val="center"/>
        <w:rPr>
          <w:lang w:val="en-GB"/>
        </w:rPr>
      </w:pPr>
      <w:r w:rsidRPr="00972FC5">
        <w:rPr>
          <w:noProof/>
        </w:rPr>
        <w:drawing>
          <wp:inline distT="0" distB="0" distL="0" distR="0" wp14:anchorId="0DC30DA7" wp14:editId="13CABC7C">
            <wp:extent cx="2880360" cy="21945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0360" cy="2194560"/>
                    </a:xfrm>
                    <a:prstGeom prst="rect">
                      <a:avLst/>
                    </a:prstGeom>
                  </pic:spPr>
                </pic:pic>
              </a:graphicData>
            </a:graphic>
          </wp:inline>
        </w:drawing>
      </w:r>
    </w:p>
    <w:p w14:paraId="7F121F40" w14:textId="50EBB2C7" w:rsidR="009713ED" w:rsidRDefault="009713ED" w:rsidP="009713ED">
      <w:r>
        <w:t xml:space="preserve">Across </w:t>
      </w:r>
      <w:r w:rsidR="00461F68">
        <w:t xml:space="preserve">UL and </w:t>
      </w:r>
      <w:r>
        <w:t>DL BWP switch, in case the</w:t>
      </w:r>
      <w:r w:rsidR="00461F68">
        <w:t xml:space="preserve"> </w:t>
      </w:r>
      <w:r>
        <w:t xml:space="preserve">DCI size and format </w:t>
      </w:r>
      <w:r w:rsidR="00CC2F39">
        <w:t>are</w:t>
      </w:r>
      <w:r>
        <w:t xml:space="preserve"> the same across the old and new BWP, it is possible that UE can miss a BWP switch DCI and erroneously consider the subsequent </w:t>
      </w:r>
      <w:r w:rsidR="00461F68">
        <w:t xml:space="preserve">scheduling </w:t>
      </w:r>
      <w:r>
        <w:t xml:space="preserve">DCI </w:t>
      </w:r>
      <w:r w:rsidR="00461F68">
        <w:t xml:space="preserve">on the same link direction </w:t>
      </w:r>
      <w:r>
        <w:t xml:space="preserve">as indicating BWP switch. In this case, the k0 </w:t>
      </w:r>
      <w:r w:rsidR="00461F68">
        <w:t xml:space="preserve">or k2 </w:t>
      </w:r>
      <w:r>
        <w:t>value may be insufficient for BWP switch</w:t>
      </w:r>
      <w:r w:rsidR="00461F68">
        <w:t>ing delay</w:t>
      </w:r>
      <w:r>
        <w:t>. To handle this type of error scenarios, we have the following proposal.</w:t>
      </w:r>
    </w:p>
    <w:p w14:paraId="7545E2B1" w14:textId="259F45E0" w:rsidR="009713ED" w:rsidRDefault="009713ED" w:rsidP="009713ED">
      <w:pPr>
        <w:pStyle w:val="Caption"/>
      </w:pPr>
      <w:bookmarkStart w:id="26" w:name="_Toc510816470"/>
      <w:r>
        <w:t xml:space="preserve">Proposal </w:t>
      </w:r>
      <w:fldSimple w:instr=" SEQ Proposal \* ARABIC ">
        <w:r w:rsidR="006240DB">
          <w:rPr>
            <w:noProof/>
          </w:rPr>
          <w:t>12</w:t>
        </w:r>
      </w:fldSimple>
      <w:r>
        <w:t xml:space="preserve">: If the k0 or k2 indicated by a BWP switch DCI (scheduling DL or UL respectively) is not sufficient to accommodate the required BWP </w:t>
      </w:r>
      <w:r w:rsidR="00461F68">
        <w:t>switching</w:t>
      </w:r>
      <w:r>
        <w:t xml:space="preserve"> </w:t>
      </w:r>
      <w:r w:rsidR="00461F68">
        <w:t>delay</w:t>
      </w:r>
      <w:r>
        <w:t>, UE can drop the BWP switch DCI.</w:t>
      </w:r>
      <w:bookmarkEnd w:id="26"/>
    </w:p>
    <w:p w14:paraId="1EB09736" w14:textId="3F1F5864" w:rsidR="009713ED" w:rsidRDefault="009713ED" w:rsidP="009713ED">
      <w:pPr>
        <w:rPr>
          <w:lang w:val="en-GB"/>
        </w:rPr>
      </w:pPr>
    </w:p>
    <w:p w14:paraId="308ED463" w14:textId="738199F8" w:rsidR="009713ED" w:rsidRDefault="009713ED" w:rsidP="009713ED">
      <w:pPr>
        <w:rPr>
          <w:lang w:val="en-GB"/>
        </w:rPr>
      </w:pPr>
      <w:bookmarkStart w:id="27" w:name="_Hlk510502166"/>
      <w:r>
        <w:rPr>
          <w:lang w:val="en-GB"/>
        </w:rPr>
        <w:t>BWP switch may also cause dropping of scheduled transmissions and/or feedbacks.</w:t>
      </w:r>
      <w:r w:rsidR="00156D13">
        <w:rPr>
          <w:lang w:val="en-GB"/>
        </w:rPr>
        <w:t xml:space="preserve"> The following rules are proposed.</w:t>
      </w:r>
    </w:p>
    <w:p w14:paraId="25C8BA1D" w14:textId="7A55A9A6" w:rsidR="00156D13" w:rsidRDefault="00156D13" w:rsidP="00156D13">
      <w:pPr>
        <w:pStyle w:val="Caption"/>
      </w:pPr>
      <w:bookmarkStart w:id="28" w:name="_Toc510816471"/>
      <w:r>
        <w:t xml:space="preserve">Proposal </w:t>
      </w:r>
      <w:fldSimple w:instr=" SEQ Proposal \* ARABIC ">
        <w:r w:rsidR="006240DB">
          <w:rPr>
            <w:noProof/>
          </w:rPr>
          <w:t>13</w:t>
        </w:r>
      </w:fldSimple>
      <w:r>
        <w:t xml:space="preserve">: If DL BWP transition starts between a DL scheduling DCI </w:t>
      </w:r>
      <w:r w:rsidR="00DE7D4B">
        <w:t xml:space="preserve">(which is not the DCI triggering DL BWP transition) </w:t>
      </w:r>
      <w:r>
        <w:t>and its corresponding PDSCH, the PDSCH is dropped.</w:t>
      </w:r>
      <w:bookmarkEnd w:id="28"/>
      <w:r w:rsidR="008C69D9">
        <w:t xml:space="preserve"> </w:t>
      </w:r>
    </w:p>
    <w:p w14:paraId="1AAB4F25" w14:textId="5A07C194" w:rsidR="00940D9C" w:rsidRDefault="00940D9C" w:rsidP="00940D9C">
      <w:pPr>
        <w:pStyle w:val="Caption"/>
      </w:pPr>
      <w:bookmarkStart w:id="29" w:name="_Toc510816472"/>
      <w:r>
        <w:t xml:space="preserve">Proposal </w:t>
      </w:r>
      <w:fldSimple w:instr=" SEQ Proposal \* ARABIC ">
        <w:r w:rsidR="006240DB">
          <w:rPr>
            <w:noProof/>
          </w:rPr>
          <w:t>14</w:t>
        </w:r>
      </w:fldSimple>
      <w:r>
        <w:t xml:space="preserve">: If UL BWP transition starts between a UL scheduling DCI </w:t>
      </w:r>
      <w:r w:rsidR="00DE7D4B">
        <w:t xml:space="preserve">(which is not the DCI triggering UL BWP transition) </w:t>
      </w:r>
      <w:r>
        <w:t xml:space="preserve">and its corresponding PUSCH, the PUSCH is dropped. This also applies to the case when the UL scheduling DCI is associated with A-CSI </w:t>
      </w:r>
      <w:r w:rsidR="009246A8">
        <w:t>request (including</w:t>
      </w:r>
      <w:r w:rsidR="008C69D9">
        <w:t xml:space="preserve"> SP-CSI via PUSCH</w:t>
      </w:r>
      <w:r w:rsidR="009246A8">
        <w:t>)</w:t>
      </w:r>
      <w:r>
        <w:t>.</w:t>
      </w:r>
      <w:bookmarkEnd w:id="29"/>
    </w:p>
    <w:p w14:paraId="2384A9C0" w14:textId="3A79DB1E" w:rsidR="008C69D9" w:rsidRPr="008C69D9" w:rsidRDefault="008C69D9" w:rsidP="008C69D9">
      <w:r>
        <w:t>Similarly, the following rules for feedback and reporting are proposed.</w:t>
      </w:r>
    </w:p>
    <w:p w14:paraId="7AAE1D0D" w14:textId="5E050873" w:rsidR="008C69D9" w:rsidRDefault="008C69D9" w:rsidP="008C69D9">
      <w:pPr>
        <w:pStyle w:val="Caption"/>
      </w:pPr>
      <w:bookmarkStart w:id="30" w:name="_Toc510816473"/>
      <w:r>
        <w:t xml:space="preserve">Proposal </w:t>
      </w:r>
      <w:fldSimple w:instr=" SEQ Proposal \* ARABIC ">
        <w:r w:rsidR="006240DB">
          <w:rPr>
            <w:noProof/>
          </w:rPr>
          <w:t>15</w:t>
        </w:r>
      </w:fldSimple>
      <w:r>
        <w:t xml:space="preserve">: SRS request </w:t>
      </w:r>
      <w:r w:rsidR="007261C5">
        <w:t xml:space="preserve">triggered by DCI Format 0-1 or 1-1 </w:t>
      </w:r>
      <w:r>
        <w:t xml:space="preserve">is dropped </w:t>
      </w:r>
      <w:r w:rsidR="007E178E">
        <w:t xml:space="preserve">during or </w:t>
      </w:r>
      <w:r>
        <w:t>after a BWP switch.</w:t>
      </w:r>
      <w:bookmarkEnd w:id="30"/>
    </w:p>
    <w:p w14:paraId="423CD954" w14:textId="76543EDF" w:rsidR="008C69D9" w:rsidRPr="008C69D9" w:rsidRDefault="008C69D9" w:rsidP="008C69D9">
      <w:pPr>
        <w:pStyle w:val="Caption"/>
      </w:pPr>
      <w:bookmarkStart w:id="31" w:name="_Toc510816474"/>
      <w:r>
        <w:t xml:space="preserve">Proposal </w:t>
      </w:r>
      <w:fldSimple w:instr=" SEQ Proposal \* ARABIC ">
        <w:r w:rsidR="006240DB">
          <w:rPr>
            <w:noProof/>
          </w:rPr>
          <w:t>16</w:t>
        </w:r>
      </w:fldSimple>
      <w:r>
        <w:t>: P-CSI reporting</w:t>
      </w:r>
      <w:r w:rsidR="009246A8">
        <w:t xml:space="preserve"> (including</w:t>
      </w:r>
      <w:r>
        <w:t xml:space="preserve"> SP-CSI via PUCCH</w:t>
      </w:r>
      <w:r w:rsidR="009246A8">
        <w:t>)</w:t>
      </w:r>
      <w:r w:rsidR="00423774">
        <w:t xml:space="preserve"> </w:t>
      </w:r>
      <w:r w:rsidR="007261C5">
        <w:t xml:space="preserve">is dropped </w:t>
      </w:r>
      <w:r w:rsidR="007E178E">
        <w:t xml:space="preserve">during or </w:t>
      </w:r>
      <w:r w:rsidR="00423774">
        <w:t>after a BWP switch.</w:t>
      </w:r>
      <w:bookmarkEnd w:id="31"/>
    </w:p>
    <w:bookmarkEnd w:id="27"/>
    <w:p w14:paraId="4B45FEA4" w14:textId="68FEEE08" w:rsidR="001E0A54" w:rsidRDefault="001E0A54" w:rsidP="009713ED">
      <w:pPr>
        <w:rPr>
          <w:lang w:val="en-GB"/>
        </w:rPr>
      </w:pPr>
    </w:p>
    <w:p w14:paraId="16FEA06B" w14:textId="77777777" w:rsidR="009068B5" w:rsidRDefault="009068B5" w:rsidP="009713ED">
      <w:pPr>
        <w:rPr>
          <w:lang w:val="en-GB"/>
        </w:rPr>
      </w:pPr>
    </w:p>
    <w:p w14:paraId="1D5D8736" w14:textId="77777777" w:rsidR="00C40781" w:rsidRDefault="00C40781" w:rsidP="00D35815">
      <w:pPr>
        <w:pStyle w:val="Heading3"/>
      </w:pPr>
      <w:r>
        <w:t>QCL Assumptions during BWP Switching</w:t>
      </w:r>
    </w:p>
    <w:p w14:paraId="269D048B" w14:textId="391DCF8E" w:rsidR="009068B5" w:rsidRDefault="009068B5" w:rsidP="00C40781">
      <w:pPr>
        <w:rPr>
          <w:szCs w:val="22"/>
        </w:rPr>
      </w:pPr>
      <w:r w:rsidRPr="009068B5">
        <w:rPr>
          <w:szCs w:val="22"/>
        </w:rPr>
        <w:t>(</w:t>
      </w:r>
      <w:r w:rsidRPr="00D35815">
        <w:rPr>
          <w:i/>
          <w:szCs w:val="22"/>
        </w:rPr>
        <w:t>Note: This is section is identical to the section with the same name in</w:t>
      </w:r>
      <w:r w:rsidR="008B3B71">
        <w:rPr>
          <w:szCs w:val="22"/>
        </w:rPr>
        <w:t xml:space="preserve"> </w:t>
      </w:r>
      <w:r w:rsidR="008B3B71">
        <w:rPr>
          <w:szCs w:val="22"/>
        </w:rPr>
        <w:fldChar w:fldCharType="begin"/>
      </w:r>
      <w:r w:rsidR="008B3B71">
        <w:rPr>
          <w:szCs w:val="22"/>
        </w:rPr>
        <w:instrText xml:space="preserve"> REF _Ref510807220 \r \h </w:instrText>
      </w:r>
      <w:r w:rsidR="008B3B71">
        <w:rPr>
          <w:szCs w:val="22"/>
        </w:rPr>
      </w:r>
      <w:r w:rsidR="008B3B71">
        <w:rPr>
          <w:szCs w:val="22"/>
        </w:rPr>
        <w:fldChar w:fldCharType="separate"/>
      </w:r>
      <w:r w:rsidR="006240DB">
        <w:rPr>
          <w:szCs w:val="22"/>
        </w:rPr>
        <w:t>[11]</w:t>
      </w:r>
      <w:r w:rsidR="008B3B71">
        <w:rPr>
          <w:szCs w:val="22"/>
        </w:rPr>
        <w:fldChar w:fldCharType="end"/>
      </w:r>
      <w:r w:rsidR="008B3B71">
        <w:rPr>
          <w:szCs w:val="22"/>
        </w:rPr>
        <w:t>)</w:t>
      </w:r>
    </w:p>
    <w:p w14:paraId="2818F231" w14:textId="163B3423" w:rsidR="00C40781" w:rsidRDefault="00C40781" w:rsidP="00C40781">
      <w:pPr>
        <w:rPr>
          <w:szCs w:val="22"/>
        </w:rPr>
      </w:pPr>
      <w:r>
        <w:rPr>
          <w:szCs w:val="22"/>
        </w:rPr>
        <w:t xml:space="preserve">For DCI based BWP switching, it is </w:t>
      </w:r>
      <w:r w:rsidR="00C2295E" w:rsidRPr="00C2295E">
        <w:rPr>
          <w:szCs w:val="22"/>
        </w:rPr>
        <w:t>not very clear the QCL assumptions for reception of PDSCH in the new BWP. Notice that the QCL parameters associated with the RS in the new BWP may be different from the old BWP. If we derive QCL assumptions from the new BWP, the UE may not have enough time to measure RS in the new BWP to derive delay/doppler/spatial parameters before reception of PDSCH. For instance, during the very first PDSCH in the new BWP as shown in the figure below, the UE may have to rely on the old BWP for QCL assumptions</w:t>
      </w:r>
      <w:r>
        <w:rPr>
          <w:szCs w:val="22"/>
        </w:rPr>
        <w:t xml:space="preserve">. </w:t>
      </w:r>
    </w:p>
    <w:p w14:paraId="601017E4" w14:textId="68152384" w:rsidR="00C40781" w:rsidRPr="00FE553F" w:rsidRDefault="00C2295E" w:rsidP="00C40781">
      <w:pPr>
        <w:rPr>
          <w:szCs w:val="22"/>
        </w:rPr>
      </w:pPr>
      <w:r w:rsidRPr="00C2295E">
        <w:rPr>
          <w:szCs w:val="22"/>
        </w:rPr>
        <w:t>As shown in the figure below, for the first few slots before the reception of the first periodic RS in the new BWP, the UE may have to rely on QCL assumptions from the old BWP for control/data reception. In addition, the UE may require additional time to process RS in the new BWP and may require multiple such RS occasions to obtain a better estimate for the QCL parameters in the new BWP. To satisfy these requirements our proposal is to specify a Transition window in the new BWP as shown in the figure. During the transition window, the UE may obtain the QCL assumptions based on the RS in the old BWP. During the transition window the UE can filter the new periodic RS to obtain a better accurate estimate of the various QCL parameters. After the Transition window the UE may receive the PDSCH in the new BWP based on the QCL derived from the RS in the new BWP</w:t>
      </w:r>
      <w:r w:rsidR="00C40781">
        <w:rPr>
          <w:szCs w:val="22"/>
        </w:rPr>
        <w:t xml:space="preserve">. </w:t>
      </w:r>
    </w:p>
    <w:p w14:paraId="64717AB7" w14:textId="77777777" w:rsidR="00C40781" w:rsidRDefault="00C40781" w:rsidP="00C40781">
      <w:pPr>
        <w:rPr>
          <w:lang w:eastAsia="x-none"/>
        </w:rPr>
      </w:pPr>
      <w:r w:rsidRPr="005E68C7">
        <w:rPr>
          <w:lang w:eastAsia="x-none"/>
        </w:rPr>
        <w:object w:dxaOrig="22890" w:dyaOrig="6990" w14:anchorId="31C99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85pt;height:158.25pt" o:ole="">
            <v:imagedata r:id="rId24" o:title=""/>
          </v:shape>
          <o:OLEObject Type="Embed" ProgID="Visio.Drawing.11" ShapeID="_x0000_i1025" DrawAspect="Content" ObjectID="_1584558748" r:id="rId25"/>
        </w:object>
      </w:r>
    </w:p>
    <w:p w14:paraId="39E4CDB0" w14:textId="77777777" w:rsidR="00C2295E" w:rsidRDefault="00C2295E" w:rsidP="00C2295E">
      <w:r>
        <w:t>The TCI states signalled to receive PDSCH in the new BWP shall be interpreted accordingly. For Control Channel QCL, a simple rule can be defined to map the QCL for control in the new BWP with the old BWP. We can map the TCI state for PDCCH in the new BWP, based on a default TCI Control TCI state in the old BWP. Whenever there is a mismatch in the N-bit TCI indicator between the old BWP and new BWP, the N bits can be discarded and the QCL assumptions interpreted accordingly based on the old BWP during the transition window.</w:t>
      </w:r>
    </w:p>
    <w:p w14:paraId="1F5A3BAB" w14:textId="77777777" w:rsidR="00C40781" w:rsidRDefault="00C40781" w:rsidP="00C40781">
      <w:r>
        <w:t>Based on the above discussions we have the following proposal.</w:t>
      </w:r>
    </w:p>
    <w:p w14:paraId="63AFCB49" w14:textId="3663723A" w:rsidR="00C40781" w:rsidRPr="00D35815" w:rsidRDefault="00C40781" w:rsidP="00C40781">
      <w:pPr>
        <w:pStyle w:val="Caption"/>
        <w:rPr>
          <w:b w:val="0"/>
        </w:rPr>
      </w:pPr>
      <w:bookmarkStart w:id="32" w:name="_Toc510816475"/>
      <w:r>
        <w:t xml:space="preserve">Proposal </w:t>
      </w:r>
      <w:fldSimple w:instr=" SEQ Proposal \* ARABIC ">
        <w:r w:rsidR="006240DB">
          <w:rPr>
            <w:noProof/>
          </w:rPr>
          <w:t>17</w:t>
        </w:r>
      </w:fldSimple>
      <w:r>
        <w:t xml:space="preserve">: </w:t>
      </w:r>
      <w:r w:rsidR="009068B5" w:rsidRPr="009068B5">
        <w:t>A Transition Window shall be specified in the BWP switch, wherein during the Transition window the QCL assumptions for reception of DL Control and Data and transmission of UL control and Data in the new BWP are based on the QCL assumptions derived from the RSs in the old BWP</w:t>
      </w:r>
      <w:r w:rsidRPr="00D35815">
        <w:t>.</w:t>
      </w:r>
      <w:bookmarkEnd w:id="32"/>
      <w:r w:rsidRPr="00D35815">
        <w:t xml:space="preserve"> </w:t>
      </w:r>
    </w:p>
    <w:p w14:paraId="6A16AA40" w14:textId="7AFD0F64" w:rsidR="00C40781" w:rsidRPr="00B71A00" w:rsidRDefault="00C40781" w:rsidP="00C40781">
      <w:pPr>
        <w:pStyle w:val="Caption"/>
        <w:rPr>
          <w:b w:val="0"/>
          <w:i/>
        </w:rPr>
      </w:pPr>
      <w:bookmarkStart w:id="33" w:name="_Toc510816476"/>
      <w:r>
        <w:t xml:space="preserve">Proposal </w:t>
      </w:r>
      <w:fldSimple w:instr=" SEQ Proposal \* ARABIC ">
        <w:r w:rsidR="006240DB">
          <w:rPr>
            <w:noProof/>
          </w:rPr>
          <w:t>18</w:t>
        </w:r>
      </w:fldSimple>
      <w:r>
        <w:t xml:space="preserve">: </w:t>
      </w:r>
      <w:r w:rsidR="009068B5" w:rsidRPr="009068B5">
        <w:t>A simple rule can be specified to interpret the TCI states for Control/Data during the Transition Window. Transition window can be defined to have a length spanning the start of reception in the new BWP to the first RS transmission occasion in the new BWP</w:t>
      </w:r>
      <w:r w:rsidRPr="00D35815">
        <w:t>.</w:t>
      </w:r>
      <w:bookmarkEnd w:id="33"/>
    </w:p>
    <w:p w14:paraId="4828B653" w14:textId="77777777" w:rsidR="00C40781" w:rsidRPr="009713ED" w:rsidRDefault="00C40781" w:rsidP="009713ED">
      <w:pPr>
        <w:rPr>
          <w:lang w:val="en-GB"/>
        </w:rPr>
      </w:pPr>
    </w:p>
    <w:p w14:paraId="48664CAD" w14:textId="41B220B6" w:rsidR="005C6502" w:rsidRDefault="005C6502" w:rsidP="002B15CF">
      <w:pPr>
        <w:pStyle w:val="Heading3"/>
      </w:pPr>
      <w:bookmarkStart w:id="34" w:name="_Ref506512228"/>
      <w:bookmarkEnd w:id="18"/>
      <w:r>
        <w:t>CSI Measurement and SRS</w:t>
      </w:r>
      <w:bookmarkEnd w:id="34"/>
    </w:p>
    <w:p w14:paraId="59221559" w14:textId="605EE56A" w:rsidR="00F6083E" w:rsidRDefault="00F6083E" w:rsidP="005C6502">
      <w:pPr>
        <w:rPr>
          <w:lang w:val="en-GB"/>
        </w:rPr>
      </w:pPr>
      <w:r>
        <w:rPr>
          <w:lang w:val="en-GB"/>
        </w:rPr>
        <w:t>(</w:t>
      </w:r>
      <w:r w:rsidRPr="00D35815">
        <w:rPr>
          <w:i/>
          <w:lang w:val="en-GB"/>
        </w:rPr>
        <w:t xml:space="preserve">This section is based on resubmission of </w:t>
      </w:r>
      <w:r w:rsidR="00AB426C" w:rsidRPr="00D35815">
        <w:rPr>
          <w:i/>
        </w:rPr>
        <w:t>R1-1802844</w:t>
      </w:r>
      <w:r>
        <w:rPr>
          <w:lang w:val="en-GB"/>
        </w:rPr>
        <w:t>)</w:t>
      </w:r>
    </w:p>
    <w:p w14:paraId="77482349" w14:textId="7CB5889E" w:rsidR="005C6502" w:rsidRDefault="005C6502" w:rsidP="005C6502">
      <w:pPr>
        <w:rPr>
          <w:lang w:val="en-GB"/>
        </w:rPr>
      </w:pPr>
      <w:r>
        <w:rPr>
          <w:lang w:val="en-GB"/>
        </w:rPr>
        <w:t>In RAN1 #</w:t>
      </w:r>
      <w:r w:rsidR="008B252A">
        <w:rPr>
          <w:lang w:val="en-GB"/>
        </w:rPr>
        <w:t>91</w:t>
      </w:r>
      <w:r>
        <w:rPr>
          <w:lang w:val="en-GB"/>
        </w:rPr>
        <w:t>, the follow agreement as made</w:t>
      </w:r>
      <w:r w:rsidR="004B235E">
        <w:rPr>
          <w:lang w:val="en-GB"/>
        </w:rPr>
        <w:t xml:space="preserve"> </w:t>
      </w:r>
      <w:r w:rsidR="004B235E">
        <w:rPr>
          <w:lang w:val="en-GB"/>
        </w:rPr>
        <w:fldChar w:fldCharType="begin"/>
      </w:r>
      <w:r w:rsidR="004B235E">
        <w:rPr>
          <w:lang w:val="en-GB"/>
        </w:rPr>
        <w:instrText xml:space="preserve"> REF _Ref506575220 \r \h </w:instrText>
      </w:r>
      <w:r w:rsidR="004B235E">
        <w:rPr>
          <w:lang w:val="en-GB"/>
        </w:rPr>
      </w:r>
      <w:r w:rsidR="004B235E">
        <w:rPr>
          <w:lang w:val="en-GB"/>
        </w:rPr>
        <w:fldChar w:fldCharType="separate"/>
      </w:r>
      <w:r w:rsidR="006240DB">
        <w:rPr>
          <w:lang w:val="en-GB"/>
        </w:rPr>
        <w:t>[3]</w:t>
      </w:r>
      <w:r w:rsidR="004B235E">
        <w:rPr>
          <w:lang w:val="en-GB"/>
        </w:rPr>
        <w:fldChar w:fldCharType="end"/>
      </w:r>
      <w:r>
        <w:rPr>
          <w:lang w:val="en-GB"/>
        </w:rPr>
        <w:t>:</w:t>
      </w:r>
    </w:p>
    <w:p w14:paraId="5BEFE249" w14:textId="31729BC6" w:rsidR="005C6502" w:rsidRDefault="008B252A" w:rsidP="008B252A">
      <w:pPr>
        <w:numPr>
          <w:ilvl w:val="0"/>
          <w:numId w:val="6"/>
        </w:numPr>
        <w:overflowPunct/>
        <w:autoSpaceDE/>
        <w:autoSpaceDN/>
        <w:adjustRightInd/>
        <w:spacing w:after="0"/>
        <w:textAlignment w:val="auto"/>
        <w:rPr>
          <w:lang w:eastAsia="zh-TW"/>
        </w:rPr>
      </w:pPr>
      <w:r>
        <w:rPr>
          <w:lang w:eastAsia="zh-TW"/>
        </w:rPr>
        <w:t>A UE is expected to perform CSI measurement only within its active DL BWP at the time when the measurement occurs</w:t>
      </w:r>
    </w:p>
    <w:p w14:paraId="14CECD81" w14:textId="509EAC12" w:rsidR="00962395" w:rsidRDefault="00962395" w:rsidP="00962395">
      <w:pPr>
        <w:overflowPunct/>
        <w:autoSpaceDE/>
        <w:autoSpaceDN/>
        <w:adjustRightInd/>
        <w:spacing w:after="0"/>
        <w:textAlignment w:val="auto"/>
        <w:rPr>
          <w:lang w:eastAsia="zh-TW"/>
        </w:rPr>
      </w:pPr>
      <w:r>
        <w:rPr>
          <w:lang w:eastAsia="zh-TW"/>
        </w:rPr>
        <w:t>In RAN1 #92, the following agreement was made</w:t>
      </w:r>
      <w:r w:rsidR="00D13B3F">
        <w:rPr>
          <w:lang w:eastAsia="zh-TW"/>
        </w:rPr>
        <w:t xml:space="preserve"> </w:t>
      </w:r>
      <w:r w:rsidR="00D13B3F">
        <w:rPr>
          <w:lang w:eastAsia="zh-TW"/>
        </w:rPr>
        <w:fldChar w:fldCharType="begin"/>
      </w:r>
      <w:r w:rsidR="00D13B3F">
        <w:rPr>
          <w:lang w:eastAsia="zh-TW"/>
        </w:rPr>
        <w:instrText xml:space="preserve"> REF _Ref510358192 \r \h </w:instrText>
      </w:r>
      <w:r w:rsidR="00D13B3F">
        <w:rPr>
          <w:lang w:eastAsia="zh-TW"/>
        </w:rPr>
      </w:r>
      <w:r w:rsidR="00D13B3F">
        <w:rPr>
          <w:lang w:eastAsia="zh-TW"/>
        </w:rPr>
        <w:fldChar w:fldCharType="separate"/>
      </w:r>
      <w:r w:rsidR="006240DB">
        <w:rPr>
          <w:lang w:eastAsia="zh-TW"/>
        </w:rPr>
        <w:t>[10]</w:t>
      </w:r>
      <w:r w:rsidR="00D13B3F">
        <w:rPr>
          <w:lang w:eastAsia="zh-TW"/>
        </w:rPr>
        <w:fldChar w:fldCharType="end"/>
      </w:r>
      <w:r>
        <w:rPr>
          <w:lang w:eastAsia="zh-TW"/>
        </w:rPr>
        <w:t xml:space="preserve"> :</w:t>
      </w:r>
    </w:p>
    <w:p w14:paraId="4EDBE21B" w14:textId="77777777" w:rsidR="00D13B3F" w:rsidRDefault="00D13B3F" w:rsidP="00962395">
      <w:pPr>
        <w:overflowPunct/>
        <w:autoSpaceDE/>
        <w:autoSpaceDN/>
        <w:adjustRightInd/>
        <w:spacing w:after="0"/>
        <w:textAlignment w:val="auto"/>
        <w:rPr>
          <w:lang w:eastAsia="zh-TW"/>
        </w:rPr>
      </w:pPr>
    </w:p>
    <w:p w14:paraId="16A04C42" w14:textId="142AFD25" w:rsidR="00962395" w:rsidRPr="00D35815" w:rsidRDefault="00962395" w:rsidP="00D35815">
      <w:pPr>
        <w:pStyle w:val="ListParagraph"/>
        <w:numPr>
          <w:ilvl w:val="0"/>
          <w:numId w:val="28"/>
        </w:numPr>
        <w:rPr>
          <w:sz w:val="12"/>
          <w:lang w:eastAsia="x-none"/>
        </w:rPr>
      </w:pPr>
      <w:r w:rsidRPr="00267109">
        <w:rPr>
          <w:lang w:eastAsia="x-none"/>
        </w:rPr>
        <w:t>SRS resource set configuration is supported per BWP. SRS is always transmitted in an active BWP within an active CC.</w:t>
      </w:r>
    </w:p>
    <w:p w14:paraId="69CDD3E5" w14:textId="77777777" w:rsidR="008B252A" w:rsidRPr="008B252A" w:rsidRDefault="008B252A" w:rsidP="008B252A">
      <w:pPr>
        <w:overflowPunct/>
        <w:autoSpaceDE/>
        <w:autoSpaceDN/>
        <w:adjustRightInd/>
        <w:spacing w:after="0"/>
        <w:textAlignment w:val="auto"/>
        <w:rPr>
          <w:lang w:eastAsia="zh-TW"/>
        </w:rPr>
      </w:pPr>
    </w:p>
    <w:p w14:paraId="6AA338E9" w14:textId="104D2A7D" w:rsidR="00835A6E" w:rsidRDefault="00AC404F" w:rsidP="005C6502">
      <w:pPr>
        <w:rPr>
          <w:lang w:val="en-GB"/>
        </w:rPr>
      </w:pPr>
      <w:r>
        <w:rPr>
          <w:lang w:val="en-GB"/>
        </w:rPr>
        <w:t xml:space="preserve">Consideration for SRS should be consistent with CSI measurement, because SRS achieves similar functionality but exploits channel reciprocity for TDD. </w:t>
      </w:r>
      <w:r w:rsidR="00D13B3F">
        <w:rPr>
          <w:lang w:val="en-GB"/>
        </w:rPr>
        <w:t>The following should be considered</w:t>
      </w:r>
      <w:r>
        <w:rPr>
          <w:lang w:val="en-GB"/>
        </w:rPr>
        <w:t>:</w:t>
      </w:r>
    </w:p>
    <w:p w14:paraId="2CD899E3" w14:textId="1C57EFB3" w:rsidR="00AC404F" w:rsidRDefault="00AC404F" w:rsidP="001575A7">
      <w:pPr>
        <w:pStyle w:val="ListParagraph"/>
        <w:numPr>
          <w:ilvl w:val="0"/>
          <w:numId w:val="7"/>
        </w:numPr>
      </w:pPr>
      <w:r>
        <w:t>SRS should correspond only to the active DL BWP</w:t>
      </w:r>
    </w:p>
    <w:p w14:paraId="74936D35" w14:textId="51FA33AB" w:rsidR="00AC404F" w:rsidRDefault="00AC404F" w:rsidP="001575A7">
      <w:pPr>
        <w:pStyle w:val="ListParagraph"/>
        <w:numPr>
          <w:ilvl w:val="0"/>
          <w:numId w:val="7"/>
        </w:numPr>
      </w:pPr>
      <w:r>
        <w:t xml:space="preserve">But SRS is transmitted on UL, there are two </w:t>
      </w:r>
      <w:r w:rsidR="00B533BC">
        <w:t>possible configurations</w:t>
      </w:r>
      <w:r>
        <w:t>:</w:t>
      </w:r>
    </w:p>
    <w:p w14:paraId="2E65B33B" w14:textId="3AFBA0D6" w:rsidR="00AC404F" w:rsidRDefault="00AC404F" w:rsidP="001575A7">
      <w:pPr>
        <w:pStyle w:val="ListParagraph"/>
        <w:numPr>
          <w:ilvl w:val="1"/>
          <w:numId w:val="7"/>
        </w:numPr>
      </w:pPr>
      <w:r>
        <w:t>UL BWP</w:t>
      </w:r>
      <w:r w:rsidR="00B25632">
        <w:t xml:space="preserve"> </w:t>
      </w:r>
      <w:r w:rsidR="00C52549">
        <w:t xml:space="preserve">is a superset of DL BWP </w:t>
      </w:r>
      <w:r w:rsidR="00B25632">
        <w:t>for the BWP pair</w:t>
      </w:r>
      <w:r>
        <w:t>:</w:t>
      </w:r>
    </w:p>
    <w:p w14:paraId="719AE15B" w14:textId="1891DA05" w:rsidR="00AC404F" w:rsidRDefault="00AC404F" w:rsidP="001575A7">
      <w:pPr>
        <w:pStyle w:val="ListParagraph"/>
        <w:numPr>
          <w:ilvl w:val="2"/>
          <w:numId w:val="7"/>
        </w:numPr>
      </w:pPr>
      <w:r>
        <w:t>No issue, send SRS on frequency range of DL BWP in the UL direction.</w:t>
      </w:r>
    </w:p>
    <w:p w14:paraId="2374D8EF" w14:textId="484AA5F6" w:rsidR="00AC404F" w:rsidRDefault="00AC404F" w:rsidP="001575A7">
      <w:pPr>
        <w:pStyle w:val="ListParagraph"/>
        <w:numPr>
          <w:ilvl w:val="1"/>
          <w:numId w:val="7"/>
        </w:numPr>
      </w:pPr>
      <w:r>
        <w:t xml:space="preserve">UL BWP is a </w:t>
      </w:r>
      <w:r w:rsidR="001921F7">
        <w:t xml:space="preserve">proper </w:t>
      </w:r>
      <w:r>
        <w:t>subset of DL BWP</w:t>
      </w:r>
      <w:r w:rsidR="00B25632">
        <w:t xml:space="preserve"> for the BWP pair</w:t>
      </w:r>
      <w:r>
        <w:t>:</w:t>
      </w:r>
    </w:p>
    <w:p w14:paraId="020B55D9" w14:textId="5157EC75" w:rsidR="00AC404F" w:rsidRDefault="00AC404F" w:rsidP="001575A7">
      <w:pPr>
        <w:pStyle w:val="ListParagraph"/>
        <w:numPr>
          <w:ilvl w:val="2"/>
          <w:numId w:val="7"/>
        </w:numPr>
      </w:pPr>
      <w:r>
        <w:t>Allow sending SRS outside of UL BWP, but still within the frequency range of DL BWP.</w:t>
      </w:r>
    </w:p>
    <w:p w14:paraId="2A14A99B" w14:textId="521E2F0E" w:rsidR="00AC404F" w:rsidRDefault="00AC404F" w:rsidP="001575A7">
      <w:pPr>
        <w:pStyle w:val="ListParagraph"/>
        <w:numPr>
          <w:ilvl w:val="2"/>
          <w:numId w:val="7"/>
        </w:numPr>
      </w:pPr>
      <w:r>
        <w:t>To support this, implicit gap for UL BWP switching needs to be specified.</w:t>
      </w:r>
    </w:p>
    <w:tbl>
      <w:tblPr>
        <w:tblStyle w:val="TableGrid"/>
        <w:tblW w:w="0" w:type="auto"/>
        <w:tblLook w:val="04A0" w:firstRow="1" w:lastRow="0" w:firstColumn="1" w:lastColumn="0" w:noHBand="0" w:noVBand="1"/>
      </w:tblPr>
      <w:tblGrid>
        <w:gridCol w:w="5575"/>
        <w:gridCol w:w="4053"/>
      </w:tblGrid>
      <w:tr w:rsidR="00B25632" w14:paraId="7442FF1D" w14:textId="77777777" w:rsidTr="00FA27B9">
        <w:trPr>
          <w:cantSplit/>
        </w:trPr>
        <w:tc>
          <w:tcPr>
            <w:tcW w:w="5575" w:type="dxa"/>
          </w:tcPr>
          <w:p w14:paraId="586B74FC" w14:textId="77777777" w:rsidR="00B25632" w:rsidRDefault="00B25632" w:rsidP="00AC404F">
            <w:r>
              <w:t>Configuration 1:</w:t>
            </w:r>
          </w:p>
          <w:p w14:paraId="4751C4B3" w14:textId="1AA2A032" w:rsidR="00B25632" w:rsidRDefault="00B25632" w:rsidP="00AC404F">
            <w:r>
              <w:rPr>
                <w:noProof/>
              </w:rPr>
              <w:drawing>
                <wp:inline distT="0" distB="0" distL="0" distR="0" wp14:anchorId="6281404E" wp14:editId="370DE2A6">
                  <wp:extent cx="1316736" cy="11155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316736" cy="1115568"/>
                          </a:xfrm>
                          <a:prstGeom prst="rect">
                            <a:avLst/>
                          </a:prstGeom>
                        </pic:spPr>
                      </pic:pic>
                    </a:graphicData>
                  </a:graphic>
                </wp:inline>
              </w:drawing>
            </w:r>
            <w:r>
              <w:rPr>
                <w:noProof/>
              </w:rPr>
              <w:t xml:space="preserve">                            </w:t>
            </w:r>
            <w:r>
              <w:rPr>
                <w:noProof/>
              </w:rPr>
              <w:drawing>
                <wp:inline distT="0" distB="0" distL="0" distR="0" wp14:anchorId="0A8A9C5B" wp14:editId="42E6B89C">
                  <wp:extent cx="374904" cy="1115568"/>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4904" cy="1115568"/>
                          </a:xfrm>
                          <a:prstGeom prst="rect">
                            <a:avLst/>
                          </a:prstGeom>
                        </pic:spPr>
                      </pic:pic>
                    </a:graphicData>
                  </a:graphic>
                </wp:inline>
              </w:drawing>
            </w:r>
          </w:p>
        </w:tc>
        <w:tc>
          <w:tcPr>
            <w:tcW w:w="4053" w:type="dxa"/>
          </w:tcPr>
          <w:p w14:paraId="0F7A6DC3" w14:textId="77777777" w:rsidR="00B25632" w:rsidRDefault="00B25632" w:rsidP="00AC404F">
            <w:r>
              <w:t>Configuration 2:</w:t>
            </w:r>
          </w:p>
          <w:p w14:paraId="26F3DBC6" w14:textId="449255D2" w:rsidR="00B25632" w:rsidRDefault="00B25632" w:rsidP="00AC404F">
            <w:r>
              <w:rPr>
                <w:noProof/>
              </w:rPr>
              <w:drawing>
                <wp:inline distT="0" distB="0" distL="0" distR="0" wp14:anchorId="3CF32E2F" wp14:editId="69971DC8">
                  <wp:extent cx="1316736" cy="98755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316736" cy="987552"/>
                          </a:xfrm>
                          <a:prstGeom prst="rect">
                            <a:avLst/>
                          </a:prstGeom>
                        </pic:spPr>
                      </pic:pic>
                    </a:graphicData>
                  </a:graphic>
                </wp:inline>
              </w:drawing>
            </w:r>
          </w:p>
        </w:tc>
      </w:tr>
    </w:tbl>
    <w:p w14:paraId="5EEA629A" w14:textId="47A2F7B4" w:rsidR="00345AE6" w:rsidRDefault="00345AE6" w:rsidP="00AC404F"/>
    <w:p w14:paraId="4B7D2917" w14:textId="511AAB07" w:rsidR="00345AE6" w:rsidRDefault="00B533BC" w:rsidP="00AC404F">
      <w:r>
        <w:t>In order to simplify implementation and specification effort, we propose supporting configuration (1) only for Rel-15.</w:t>
      </w:r>
    </w:p>
    <w:p w14:paraId="0F6F59DA" w14:textId="4F97E405" w:rsidR="00B25632" w:rsidRPr="00B25632" w:rsidRDefault="00B25632" w:rsidP="00B25632">
      <w:pPr>
        <w:pStyle w:val="Caption"/>
      </w:pPr>
      <w:bookmarkStart w:id="35" w:name="_Toc498701145"/>
      <w:bookmarkStart w:id="36" w:name="_Toc498702920"/>
      <w:bookmarkStart w:id="37" w:name="_Toc498711164"/>
      <w:bookmarkStart w:id="38" w:name="_Toc498712641"/>
      <w:bookmarkStart w:id="39" w:name="_Toc498712709"/>
      <w:bookmarkStart w:id="40" w:name="_Toc498714481"/>
      <w:bookmarkStart w:id="41" w:name="_Toc498715967"/>
      <w:bookmarkStart w:id="42" w:name="_Toc498716641"/>
      <w:bookmarkStart w:id="43" w:name="_Toc498717147"/>
      <w:bookmarkStart w:id="44" w:name="_Toc498717286"/>
      <w:bookmarkStart w:id="45" w:name="_Toc498717532"/>
      <w:bookmarkStart w:id="46" w:name="_Toc498720182"/>
      <w:bookmarkStart w:id="47" w:name="_Toc503105506"/>
      <w:bookmarkStart w:id="48" w:name="_Toc503105518"/>
      <w:bookmarkStart w:id="49" w:name="_Toc503105528"/>
      <w:bookmarkStart w:id="50" w:name="_Toc503105645"/>
      <w:bookmarkStart w:id="51" w:name="_Toc503260715"/>
      <w:bookmarkStart w:id="52" w:name="_Toc503267957"/>
      <w:bookmarkStart w:id="53" w:name="_Toc503268138"/>
      <w:bookmarkStart w:id="54" w:name="_Toc503268188"/>
      <w:bookmarkStart w:id="55" w:name="_Toc503268216"/>
      <w:bookmarkStart w:id="56" w:name="_Toc503282492"/>
      <w:bookmarkStart w:id="57" w:name="_Toc503313772"/>
      <w:bookmarkStart w:id="58" w:name="_Toc503464742"/>
      <w:bookmarkStart w:id="59" w:name="_Toc503486494"/>
      <w:bookmarkStart w:id="60" w:name="_Toc503488674"/>
      <w:bookmarkStart w:id="61" w:name="_Toc503489508"/>
      <w:bookmarkStart w:id="62" w:name="_Toc503490977"/>
      <w:bookmarkStart w:id="63" w:name="_Toc503491316"/>
      <w:bookmarkStart w:id="64" w:name="_Toc503534860"/>
      <w:bookmarkStart w:id="65" w:name="_Toc503538745"/>
      <w:bookmarkStart w:id="66" w:name="_Toc503539929"/>
      <w:bookmarkStart w:id="67" w:name="_Toc503539995"/>
      <w:bookmarkStart w:id="68" w:name="_Toc503542173"/>
      <w:bookmarkStart w:id="69" w:name="_Toc503545878"/>
      <w:bookmarkStart w:id="70" w:name="_Toc503545894"/>
      <w:bookmarkStart w:id="71" w:name="_Toc503547087"/>
      <w:bookmarkStart w:id="72" w:name="_Toc503547220"/>
      <w:bookmarkStart w:id="73" w:name="_Toc503547799"/>
      <w:bookmarkStart w:id="74" w:name="_Toc503552108"/>
      <w:bookmarkStart w:id="75" w:name="_Toc503553231"/>
      <w:bookmarkStart w:id="76" w:name="_Toc510816477"/>
      <w:r>
        <w:t xml:space="preserve">Proposal </w:t>
      </w:r>
      <w:fldSimple w:instr=" SEQ Proposal \* ARABIC ">
        <w:r w:rsidR="006240DB">
          <w:rPr>
            <w:noProof/>
          </w:rPr>
          <w:t>19</w:t>
        </w:r>
      </w:fldSimple>
      <w:r>
        <w:t>: For Rel-15, for unpaired spectrum</w:t>
      </w:r>
      <w:r w:rsidR="00D4039F">
        <w:t xml:space="preserve"> and if SRS feature is enabled</w:t>
      </w:r>
      <w:r>
        <w:t xml:space="preserve">, do not support the BWP pair configuration where the UL BWP frequency range is </w:t>
      </w:r>
      <w:r w:rsidR="00775662">
        <w:t>not a superset of</w:t>
      </w:r>
      <w:r>
        <w:t xml:space="preserve"> that of the DL BWP.</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738FF5D" w14:textId="10546D86" w:rsidR="00E20ED1" w:rsidRDefault="00E20ED1" w:rsidP="00E33E3A">
      <w:pPr>
        <w:pStyle w:val="Caption"/>
      </w:pPr>
    </w:p>
    <w:p w14:paraId="502A49AD" w14:textId="77777777" w:rsidR="009713ED" w:rsidRDefault="009713ED" w:rsidP="00FE5B02"/>
    <w:p w14:paraId="28901F30" w14:textId="07EC6D9A" w:rsidR="00FE5B02" w:rsidRDefault="00430CD1" w:rsidP="00430CD1">
      <w:pPr>
        <w:pStyle w:val="Heading2"/>
      </w:pPr>
      <w:r>
        <w:t xml:space="preserve">UE Feature </w:t>
      </w:r>
      <w:r w:rsidR="004F0548">
        <w:t>Related</w:t>
      </w:r>
    </w:p>
    <w:p w14:paraId="1A80272E" w14:textId="35EEF7DC" w:rsidR="00D14D0C" w:rsidRDefault="005C6502" w:rsidP="00D14D0C">
      <w:pPr>
        <w:pStyle w:val="Heading3"/>
      </w:pPr>
      <w:bookmarkStart w:id="77" w:name="_Ref506512193"/>
      <w:r>
        <w:t>BWP Adaptation Option Types</w:t>
      </w:r>
      <w:bookmarkEnd w:id="77"/>
    </w:p>
    <w:p w14:paraId="085EE015" w14:textId="257D1F1A" w:rsidR="00283B67" w:rsidRDefault="00371C1D" w:rsidP="00323273">
      <w:pPr>
        <w:rPr>
          <w:lang w:val="en-GB"/>
        </w:rPr>
      </w:pPr>
      <w:r>
        <w:rPr>
          <w:lang w:val="en-GB"/>
        </w:rPr>
        <w:t>Basic BWP operation refers to a single pair of DL/UL BWP configuration, and does not support dynamic BWP switching based on DCI.</w:t>
      </w:r>
      <w:r w:rsidR="00F0545A">
        <w:rPr>
          <w:lang w:val="en-GB"/>
        </w:rPr>
        <w:t xml:space="preserve"> Support is mandatory.</w:t>
      </w:r>
    </w:p>
    <w:p w14:paraId="5B481C58" w14:textId="525F0EC4" w:rsidR="00DF515D" w:rsidRDefault="00DF515D" w:rsidP="00323273">
      <w:pPr>
        <w:rPr>
          <w:lang w:val="en-GB"/>
        </w:rPr>
      </w:pPr>
      <w:r>
        <w:rPr>
          <w:u w:val="single"/>
          <w:lang w:val="en-GB"/>
        </w:rPr>
        <w:t>6-1: Basic BWP operation</w:t>
      </w:r>
    </w:p>
    <w:p w14:paraId="284CD648" w14:textId="15F9E5C6" w:rsidR="00DF515D" w:rsidRDefault="00DF515D" w:rsidP="00DF515D">
      <w:pPr>
        <w:pStyle w:val="ListParagraph"/>
        <w:numPr>
          <w:ilvl w:val="0"/>
          <w:numId w:val="26"/>
        </w:numPr>
      </w:pPr>
      <w:r w:rsidRPr="00DF515D">
        <w:t>1 UE-specific RRC configured DL BWP per carrier</w:t>
      </w:r>
    </w:p>
    <w:p w14:paraId="2EF095CD" w14:textId="1091C93A" w:rsidR="00DF515D" w:rsidRDefault="00DF515D" w:rsidP="00DF515D">
      <w:pPr>
        <w:pStyle w:val="ListParagraph"/>
        <w:numPr>
          <w:ilvl w:val="0"/>
          <w:numId w:val="26"/>
        </w:numPr>
      </w:pPr>
      <w:r w:rsidRPr="00DF515D">
        <w:t>1 UE-specific RRC configured UL BWP per carrier</w:t>
      </w:r>
    </w:p>
    <w:p w14:paraId="43E18306" w14:textId="74E8B874" w:rsidR="00DF515D" w:rsidRDefault="00DF515D" w:rsidP="00DF515D">
      <w:pPr>
        <w:pStyle w:val="ListParagraph"/>
        <w:numPr>
          <w:ilvl w:val="0"/>
          <w:numId w:val="26"/>
        </w:numPr>
      </w:pPr>
      <w:r w:rsidRPr="00DF515D">
        <w:t>RRC reconfiguration of any parameters related to BWP</w:t>
      </w:r>
    </w:p>
    <w:p w14:paraId="29833EE5" w14:textId="77777777" w:rsidR="00DF515D" w:rsidRDefault="00DF515D" w:rsidP="00323273">
      <w:pPr>
        <w:rPr>
          <w:lang w:val="en-GB"/>
        </w:rPr>
      </w:pPr>
    </w:p>
    <w:p w14:paraId="0835E4F9" w14:textId="2A055464" w:rsidR="00371C1D" w:rsidRDefault="00371C1D" w:rsidP="00323273">
      <w:pPr>
        <w:rPr>
          <w:lang w:val="en-GB"/>
        </w:rPr>
      </w:pPr>
      <w:r>
        <w:rPr>
          <w:lang w:val="en-GB"/>
        </w:rPr>
        <w:t>Next level of complexity for BWP operation is associated with supporting BWP adaptation by dynamic BWP switching. Also, in terms of BWP configuration, whether common search space, PRACH resource, SSB are configured within each BWP or not, greatly affects the complexity of the implementation on both the gNB and UE side. In addition, BWP-specific configuration, such as CORESET and associated PDCCH search space</w:t>
      </w:r>
      <w:r w:rsidR="00702711">
        <w:rPr>
          <w:lang w:val="en-GB"/>
        </w:rPr>
        <w:t>s</w:t>
      </w:r>
      <w:r>
        <w:rPr>
          <w:lang w:val="en-GB"/>
        </w:rPr>
        <w:t>, PUCCH resources, also has significant impact to the implementation complexity.</w:t>
      </w:r>
    </w:p>
    <w:p w14:paraId="3A7C1885" w14:textId="6936D698" w:rsidR="00C5334F" w:rsidRDefault="001859ED" w:rsidP="00323273">
      <w:pPr>
        <w:rPr>
          <w:lang w:val="en-GB"/>
        </w:rPr>
      </w:pPr>
      <w:r>
        <w:rPr>
          <w:lang w:val="en-GB"/>
        </w:rPr>
        <w:t xml:space="preserve">For </w:t>
      </w:r>
      <w:r w:rsidR="00F0545A">
        <w:rPr>
          <w:lang w:val="en-GB"/>
        </w:rPr>
        <w:t>finer</w:t>
      </w:r>
      <w:r w:rsidR="00F0545A">
        <w:rPr>
          <w:lang w:val="en-GB"/>
        </w:rPr>
        <w:t xml:space="preserve"> </w:t>
      </w:r>
      <w:r>
        <w:rPr>
          <w:lang w:val="en-GB"/>
        </w:rPr>
        <w:t xml:space="preserve">granularity </w:t>
      </w:r>
      <w:r w:rsidR="00F0545A">
        <w:rPr>
          <w:lang w:val="en-GB"/>
        </w:rPr>
        <w:t>in terms of increase in</w:t>
      </w:r>
      <w:r w:rsidR="00F0545A">
        <w:rPr>
          <w:lang w:val="en-GB"/>
        </w:rPr>
        <w:t xml:space="preserve"> </w:t>
      </w:r>
      <w:r>
        <w:rPr>
          <w:lang w:val="en-GB"/>
        </w:rPr>
        <w:t>implementation complexity,</w:t>
      </w:r>
      <w:r w:rsidR="00C5334F">
        <w:rPr>
          <w:lang w:val="en-GB"/>
        </w:rPr>
        <w:t xml:space="preserve"> we propose to further split the BWP </w:t>
      </w:r>
      <w:r w:rsidR="00BF153C">
        <w:rPr>
          <w:lang w:val="en-GB"/>
        </w:rPr>
        <w:t>adaptation feature into two tiers</w:t>
      </w:r>
      <w:r w:rsidR="00702711">
        <w:rPr>
          <w:lang w:val="en-GB"/>
        </w:rPr>
        <w:t>: Type A supports a greatly simplified configuration mainly for UE power saving objective, and Type B supports full-fledged BWP adaptation</w:t>
      </w:r>
      <w:r w:rsidR="00BF153C">
        <w:rPr>
          <w:lang w:val="en-GB"/>
        </w:rPr>
        <w:t xml:space="preserve">. </w:t>
      </w:r>
      <w:r w:rsidR="0079032C">
        <w:rPr>
          <w:lang w:val="en-GB"/>
        </w:rPr>
        <w:t xml:space="preserve">According to UE feature discussion, </w:t>
      </w:r>
      <w:r w:rsidR="00BF153C">
        <w:rPr>
          <w:lang w:val="en-GB"/>
        </w:rPr>
        <w:t>the two tiers are differentiated by the following sub-feature sets</w:t>
      </w:r>
      <w:r w:rsidR="004C7798">
        <w:rPr>
          <w:lang w:val="en-GB"/>
        </w:rPr>
        <w:t>.</w:t>
      </w:r>
    </w:p>
    <w:p w14:paraId="00A95D38" w14:textId="22F936F9" w:rsidR="00BF153C" w:rsidRPr="00BF153C" w:rsidRDefault="00DF515D" w:rsidP="00BF153C">
      <w:pPr>
        <w:rPr>
          <w:u w:val="single"/>
          <w:lang w:val="en-GB"/>
        </w:rPr>
      </w:pPr>
      <w:r>
        <w:rPr>
          <w:u w:val="single"/>
          <w:lang w:val="en-GB"/>
        </w:rPr>
        <w:t xml:space="preserve">6-2: </w:t>
      </w:r>
      <w:r w:rsidR="00A34F3C">
        <w:rPr>
          <w:u w:val="single"/>
          <w:lang w:val="en-GB"/>
        </w:rPr>
        <w:t>Type A BWP adaptation</w:t>
      </w:r>
    </w:p>
    <w:p w14:paraId="79C99101" w14:textId="31EE9A8A" w:rsidR="00BF153C" w:rsidRDefault="0079032C" w:rsidP="0079032C">
      <w:pPr>
        <w:pStyle w:val="ListParagraph"/>
        <w:numPr>
          <w:ilvl w:val="0"/>
          <w:numId w:val="8"/>
        </w:numPr>
      </w:pPr>
      <w:r w:rsidRPr="0079032C">
        <w:t>Up to 2 UE-specific RRC configured DL BWPs per carrier</w:t>
      </w:r>
    </w:p>
    <w:p w14:paraId="29AB72DB" w14:textId="1789A563" w:rsidR="0079032C" w:rsidRDefault="0079032C" w:rsidP="0079032C">
      <w:pPr>
        <w:pStyle w:val="ListParagraph"/>
        <w:numPr>
          <w:ilvl w:val="0"/>
          <w:numId w:val="8"/>
        </w:numPr>
      </w:pPr>
      <w:r w:rsidRPr="0079032C">
        <w:t>Up to 2 UE-specific RRC configured UL BWPs per carrier</w:t>
      </w:r>
    </w:p>
    <w:p w14:paraId="15218AB9" w14:textId="0FE2CFFB" w:rsidR="004B235E" w:rsidRDefault="0079032C" w:rsidP="0079032C">
      <w:pPr>
        <w:pStyle w:val="ListParagraph"/>
        <w:numPr>
          <w:ilvl w:val="0"/>
          <w:numId w:val="8"/>
        </w:numPr>
      </w:pPr>
      <w:r w:rsidRPr="0079032C">
        <w:t>Active BWP switching by DCI and timer</w:t>
      </w:r>
    </w:p>
    <w:p w14:paraId="0B517EDE" w14:textId="2DDFA3FC" w:rsidR="0079032C" w:rsidRDefault="0079032C" w:rsidP="0079032C">
      <w:pPr>
        <w:pStyle w:val="ListParagraph"/>
        <w:numPr>
          <w:ilvl w:val="0"/>
          <w:numId w:val="8"/>
        </w:numPr>
      </w:pPr>
      <w:r w:rsidRPr="0079032C">
        <w:t>Same numerology for all the UE-specific RRC configured BWPs per carrier</w:t>
      </w:r>
    </w:p>
    <w:p w14:paraId="77A2BF1A" w14:textId="36A05507" w:rsidR="0079032C" w:rsidRDefault="0079032C" w:rsidP="0079032C">
      <w:pPr>
        <w:pStyle w:val="ListParagraph"/>
        <w:numPr>
          <w:ilvl w:val="0"/>
          <w:numId w:val="8"/>
        </w:numPr>
      </w:pPr>
      <w:r w:rsidRPr="0079032C">
        <w:t>Same common search space for 2 BWPs per carrier</w:t>
      </w:r>
    </w:p>
    <w:p w14:paraId="3FEABB05" w14:textId="4A3FAA42" w:rsidR="00AB426C" w:rsidRDefault="00AB426C" w:rsidP="00AB426C">
      <w:pPr>
        <w:pStyle w:val="ListParagraph"/>
        <w:numPr>
          <w:ilvl w:val="0"/>
          <w:numId w:val="8"/>
        </w:numPr>
      </w:pPr>
      <w:r w:rsidRPr="00AB426C">
        <w:t xml:space="preserve">BW of each BWP includes BW of the same initial DL BWP </w:t>
      </w:r>
      <w:r w:rsidRPr="00D35815">
        <w:rPr>
          <w:highlight w:val="yellow"/>
        </w:rPr>
        <w:t>and cell-defining SSB</w:t>
      </w:r>
      <w:r w:rsidRPr="00AB426C">
        <w:t xml:space="preserve"> if there is an initial DL BWP in a carrier</w:t>
      </w:r>
    </w:p>
    <w:p w14:paraId="48EEA68B" w14:textId="5790F801" w:rsidR="0079032C" w:rsidRDefault="00AB426C" w:rsidP="0079032C">
      <w:r>
        <w:t>The highlighted part above is a clarification in case SSB is not within the initial DL BWP. Also, t</w:t>
      </w:r>
      <w:r w:rsidR="0079032C">
        <w:t>he following addition</w:t>
      </w:r>
      <w:r>
        <w:t xml:space="preserve"> should also be considered</w:t>
      </w:r>
      <w:r w:rsidR="0079032C">
        <w:t>:</w:t>
      </w:r>
    </w:p>
    <w:p w14:paraId="7A7967DE" w14:textId="77D36726" w:rsidR="001859ED" w:rsidRDefault="001859ED" w:rsidP="001575A7">
      <w:pPr>
        <w:pStyle w:val="ListParagraph"/>
        <w:numPr>
          <w:ilvl w:val="0"/>
          <w:numId w:val="8"/>
        </w:numPr>
      </w:pPr>
      <w:r>
        <w:t xml:space="preserve">For TDD, </w:t>
      </w:r>
      <w:r w:rsidR="00B573C4">
        <w:t>the frequency range of UL BWP is a superset of its paired DL BWP</w:t>
      </w:r>
    </w:p>
    <w:p w14:paraId="7DA32DA4" w14:textId="02C8D432" w:rsidR="00B573C4" w:rsidRPr="00FE1E88" w:rsidRDefault="00F0545A" w:rsidP="00274E57">
      <w:r>
        <w:t>This is m</w:t>
      </w:r>
      <w:r w:rsidR="00B573C4">
        <w:t>ainly motivated by simplified SRS operation</w:t>
      </w:r>
      <w:r>
        <w:t xml:space="preserve">. </w:t>
      </w:r>
      <w:r w:rsidR="00B573C4">
        <w:t>Also, if UL BWP has wide bandwidth, UL spectrum fragmentation issue can be alleviated</w:t>
      </w:r>
      <w:r>
        <w:t>.</w:t>
      </w:r>
    </w:p>
    <w:p w14:paraId="07576058" w14:textId="77777777" w:rsidR="00BF153C" w:rsidRPr="00BF153C" w:rsidRDefault="00BF153C" w:rsidP="00BF153C">
      <w:pPr>
        <w:rPr>
          <w:lang w:val="en-GB"/>
        </w:rPr>
      </w:pPr>
    </w:p>
    <w:p w14:paraId="3E17B462" w14:textId="0EE5DDAA" w:rsidR="00BF153C" w:rsidRPr="00BF153C" w:rsidRDefault="00DF515D" w:rsidP="00BF153C">
      <w:pPr>
        <w:rPr>
          <w:u w:val="single"/>
          <w:lang w:val="en-GB"/>
        </w:rPr>
      </w:pPr>
      <w:r>
        <w:rPr>
          <w:u w:val="single"/>
          <w:lang w:val="en-GB"/>
        </w:rPr>
        <w:t xml:space="preserve">6-3: </w:t>
      </w:r>
      <w:r w:rsidR="00BF153C" w:rsidRPr="00BF153C">
        <w:rPr>
          <w:u w:val="single"/>
          <w:lang w:val="en-GB"/>
        </w:rPr>
        <w:t>Type B BWP adaptation</w:t>
      </w:r>
    </w:p>
    <w:p w14:paraId="66BFCE03" w14:textId="50802152" w:rsidR="00BF153C" w:rsidRDefault="0079032C" w:rsidP="0079032C">
      <w:pPr>
        <w:pStyle w:val="ListParagraph"/>
        <w:numPr>
          <w:ilvl w:val="0"/>
          <w:numId w:val="9"/>
        </w:numPr>
      </w:pPr>
      <w:r w:rsidRPr="0079032C">
        <w:t>Up to 4 UE-specific RRC configured DL BWPs per carrier</w:t>
      </w:r>
    </w:p>
    <w:p w14:paraId="5E8B30E3" w14:textId="11225E4B" w:rsidR="0079032C" w:rsidRDefault="0079032C" w:rsidP="0079032C">
      <w:pPr>
        <w:pStyle w:val="ListParagraph"/>
        <w:numPr>
          <w:ilvl w:val="0"/>
          <w:numId w:val="9"/>
        </w:numPr>
      </w:pPr>
      <w:r w:rsidRPr="0079032C">
        <w:t>Up to 4 UE-specific RRC configured UL BWPs per carrier</w:t>
      </w:r>
    </w:p>
    <w:p w14:paraId="6E882375" w14:textId="74CCE4FB" w:rsidR="0079032C" w:rsidRDefault="0079032C" w:rsidP="0079032C">
      <w:pPr>
        <w:pStyle w:val="ListParagraph"/>
        <w:numPr>
          <w:ilvl w:val="0"/>
          <w:numId w:val="9"/>
        </w:numPr>
      </w:pPr>
      <w:r w:rsidRPr="0079032C">
        <w:t>Active BWP switching by DCI and timer</w:t>
      </w:r>
    </w:p>
    <w:p w14:paraId="737977FA" w14:textId="4DBB1041" w:rsidR="0079032C" w:rsidRDefault="0079032C" w:rsidP="0079032C">
      <w:pPr>
        <w:pStyle w:val="ListParagraph"/>
        <w:numPr>
          <w:ilvl w:val="0"/>
          <w:numId w:val="9"/>
        </w:numPr>
      </w:pPr>
      <w:r w:rsidRPr="0079032C">
        <w:t>Same numerology for all the UE-specific RRC configured BWPs per carrier</w:t>
      </w:r>
    </w:p>
    <w:p w14:paraId="0731D998" w14:textId="77777777" w:rsidR="005813CA" w:rsidRDefault="005813CA" w:rsidP="00323273">
      <w:pPr>
        <w:rPr>
          <w:lang w:val="en-GB"/>
        </w:rPr>
      </w:pPr>
    </w:p>
    <w:p w14:paraId="1FA9ACF9" w14:textId="0277B3DD" w:rsidR="00C63169" w:rsidRPr="00814E13" w:rsidRDefault="00686644" w:rsidP="00754C1A">
      <w:pPr>
        <w:pStyle w:val="Caption"/>
        <w:rPr>
          <w:b w:val="0"/>
        </w:rPr>
      </w:pPr>
      <w:bookmarkStart w:id="78" w:name="_Toc494741492"/>
      <w:bookmarkStart w:id="79" w:name="_Toc494742686"/>
      <w:bookmarkStart w:id="80" w:name="_Toc494742969"/>
      <w:bookmarkStart w:id="81" w:name="_Toc494743448"/>
      <w:bookmarkStart w:id="82" w:name="_Toc494743595"/>
      <w:bookmarkStart w:id="83" w:name="_Toc494744792"/>
      <w:bookmarkStart w:id="84" w:name="_Toc494748372"/>
      <w:bookmarkStart w:id="85" w:name="_Toc494743632"/>
      <w:bookmarkStart w:id="86" w:name="_Toc498633825"/>
      <w:bookmarkStart w:id="87" w:name="_Toc498634115"/>
      <w:bookmarkStart w:id="88" w:name="_Toc498648444"/>
      <w:bookmarkStart w:id="89" w:name="_Toc498648607"/>
      <w:bookmarkStart w:id="90" w:name="_Toc498701154"/>
      <w:bookmarkStart w:id="91" w:name="_Toc498702930"/>
      <w:bookmarkStart w:id="92" w:name="_Toc498711174"/>
      <w:bookmarkStart w:id="93" w:name="_Toc498712651"/>
      <w:bookmarkStart w:id="94" w:name="_Toc498712719"/>
      <w:bookmarkStart w:id="95" w:name="_Toc498714492"/>
      <w:bookmarkStart w:id="96" w:name="_Toc498715979"/>
      <w:bookmarkStart w:id="97" w:name="_Toc498716653"/>
      <w:bookmarkStart w:id="98" w:name="_Toc498717159"/>
      <w:bookmarkStart w:id="99" w:name="_Toc498717298"/>
      <w:bookmarkStart w:id="100" w:name="_Toc498717544"/>
      <w:bookmarkStart w:id="101" w:name="_Toc498720194"/>
      <w:bookmarkStart w:id="102" w:name="_Toc503105513"/>
      <w:bookmarkStart w:id="103" w:name="_Toc503105525"/>
      <w:bookmarkStart w:id="104" w:name="_Toc503105535"/>
      <w:bookmarkStart w:id="105" w:name="_Toc503105652"/>
      <w:bookmarkStart w:id="106" w:name="_Toc503260721"/>
      <w:bookmarkStart w:id="107" w:name="_Toc503267963"/>
      <w:bookmarkStart w:id="108" w:name="_Toc503268144"/>
      <w:bookmarkStart w:id="109" w:name="_Toc503268194"/>
      <w:bookmarkStart w:id="110" w:name="_Toc503268222"/>
      <w:bookmarkStart w:id="111" w:name="_Toc503282500"/>
      <w:bookmarkStart w:id="112" w:name="_Toc503313782"/>
      <w:bookmarkStart w:id="113" w:name="_Toc503464753"/>
      <w:bookmarkStart w:id="114" w:name="_Toc503486508"/>
      <w:bookmarkStart w:id="115" w:name="_Toc503488689"/>
      <w:bookmarkStart w:id="116" w:name="_Toc503489522"/>
      <w:bookmarkStart w:id="117" w:name="_Toc503490991"/>
      <w:bookmarkStart w:id="118" w:name="_Toc503491330"/>
      <w:bookmarkStart w:id="119" w:name="_Toc503534874"/>
      <w:bookmarkStart w:id="120" w:name="_Toc503538759"/>
      <w:bookmarkStart w:id="121" w:name="_Toc503539943"/>
      <w:bookmarkStart w:id="122" w:name="_Toc503540009"/>
      <w:bookmarkStart w:id="123" w:name="_Toc503542187"/>
      <w:bookmarkStart w:id="124" w:name="_Toc503545892"/>
      <w:bookmarkStart w:id="125" w:name="_Toc503545908"/>
      <w:bookmarkStart w:id="126" w:name="_Toc503547101"/>
      <w:bookmarkStart w:id="127" w:name="_Toc503547234"/>
      <w:bookmarkStart w:id="128" w:name="_Toc503547813"/>
      <w:bookmarkStart w:id="129" w:name="_Toc503552122"/>
      <w:bookmarkStart w:id="130" w:name="_Toc503553245"/>
      <w:bookmarkStart w:id="131" w:name="_Toc510816478"/>
      <w:r>
        <w:t xml:space="preserve">Proposal </w:t>
      </w:r>
      <w:fldSimple w:instr=" SEQ Proposal \* ARABIC ">
        <w:r w:rsidR="006240DB">
          <w:rPr>
            <w:noProof/>
          </w:rPr>
          <w:t>20</w:t>
        </w:r>
      </w:fldSimple>
      <w:r>
        <w:t>: For Rel-15</w:t>
      </w:r>
      <w:bookmarkEnd w:id="78"/>
      <w:r>
        <w:t xml:space="preserve">, </w:t>
      </w:r>
      <w:bookmarkEnd w:id="79"/>
      <w:bookmarkEnd w:id="80"/>
      <w:bookmarkEnd w:id="81"/>
      <w:bookmarkEnd w:id="82"/>
      <w:bookmarkEnd w:id="83"/>
      <w:bookmarkEnd w:id="84"/>
      <w:bookmarkEnd w:id="85"/>
      <w:bookmarkEnd w:id="86"/>
      <w:bookmarkEnd w:id="87"/>
      <w:r w:rsidR="00DF4F1A">
        <w:t>introduce</w:t>
      </w:r>
      <w:r w:rsidR="00754C1A">
        <w:t xml:space="preserve"> Type A BWP adaptation </w:t>
      </w:r>
      <w:r w:rsidR="00DF4F1A">
        <w:t>as an UE feature as described</w:t>
      </w:r>
      <w:r w:rsidR="00A34F3C">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D959389" w14:textId="691E8CA1" w:rsidR="00DF515D" w:rsidRDefault="00DF515D" w:rsidP="00CA3827">
      <w:pPr>
        <w:rPr>
          <w:lang w:val="en-GB"/>
        </w:rPr>
      </w:pPr>
    </w:p>
    <w:p w14:paraId="5405FE7D" w14:textId="604F5AEA" w:rsidR="00DF515D" w:rsidRDefault="00DF515D" w:rsidP="00CA3827">
      <w:pPr>
        <w:rPr>
          <w:lang w:val="en-GB"/>
        </w:rPr>
      </w:pPr>
      <w:r>
        <w:rPr>
          <w:lang w:val="en-GB"/>
        </w:rPr>
        <w:t>It is reasonable to expect that going from feature 6-1 to 6-3 corresponds to gradually increasing implementation complexity. By this principle, it makes sense to apply a subset of conditions of Type A BWP adaptation to Basic BWP operation. For consistency we propose to add the following condition to 6-1: Basic BWP operation:</w:t>
      </w:r>
    </w:p>
    <w:p w14:paraId="5F5F9A99" w14:textId="62823AAA" w:rsidR="00DF515D" w:rsidRDefault="00DF515D" w:rsidP="00DF515D">
      <w:pPr>
        <w:pStyle w:val="Caption"/>
        <w:rPr>
          <w:lang w:val="en-GB"/>
        </w:rPr>
      </w:pPr>
      <w:bookmarkStart w:id="132" w:name="_Toc510816479"/>
      <w:r>
        <w:t xml:space="preserve">Proposal </w:t>
      </w:r>
      <w:fldSimple w:instr=" SEQ Proposal \* ARABIC ">
        <w:r w:rsidR="006240DB">
          <w:rPr>
            <w:noProof/>
          </w:rPr>
          <w:t>21</w:t>
        </w:r>
      </w:fldSimple>
      <w:r>
        <w:t>: Add the following condition to UE feature 6-1 Basic BWP operation: “</w:t>
      </w:r>
      <w:r w:rsidRPr="0079032C">
        <w:t xml:space="preserve">BW of </w:t>
      </w:r>
      <w:r>
        <w:t>RRC configured DL</w:t>
      </w:r>
      <w:r w:rsidRPr="0079032C">
        <w:t xml:space="preserve"> BWP includes BW of the same initial DL BWP</w:t>
      </w:r>
      <w:r w:rsidR="0014104A">
        <w:t xml:space="preserve"> and </w:t>
      </w:r>
      <w:r w:rsidR="00AB426C">
        <w:t>cell-defining</w:t>
      </w:r>
      <w:r w:rsidR="0014104A">
        <w:t xml:space="preserve"> SSB</w:t>
      </w:r>
      <w:r w:rsidRPr="0079032C">
        <w:t xml:space="preserve"> if there is an initial DL BWP in a carrier</w:t>
      </w:r>
      <w:r>
        <w:t>”</w:t>
      </w:r>
      <w:bookmarkEnd w:id="132"/>
    </w:p>
    <w:p w14:paraId="387E876F" w14:textId="7D3B13B5" w:rsidR="00DF515D" w:rsidRDefault="00DF515D" w:rsidP="00CA3827">
      <w:pPr>
        <w:rPr>
          <w:lang w:val="en-GB"/>
        </w:rPr>
      </w:pPr>
      <w:r>
        <w:rPr>
          <w:lang w:val="en-GB"/>
        </w:rPr>
        <w:t>Without this condition, basic BWP operation has to deal with the case where SSB may not be present in the active DL BWP and it is unclear how RLM operation can be performed. Another benefit is that RMSI CORESET (i.e. CORESET 0) can be monitored in the active DL BWP</w:t>
      </w:r>
      <w:r w:rsidR="00146813">
        <w:rPr>
          <w:lang w:val="en-GB"/>
        </w:rPr>
        <w:t xml:space="preserve">, avoiding the need to switch to the initial DL BWP. </w:t>
      </w:r>
    </w:p>
    <w:p w14:paraId="600DADD9" w14:textId="1B281A59" w:rsidR="00234AE9" w:rsidRDefault="00234AE9" w:rsidP="00CA3827">
      <w:pPr>
        <w:rPr>
          <w:lang w:val="en-GB"/>
        </w:rPr>
      </w:pPr>
    </w:p>
    <w:p w14:paraId="6C878A1E" w14:textId="00A75428" w:rsidR="00A45A4A" w:rsidRDefault="00A45A4A" w:rsidP="00A45A4A">
      <w:pPr>
        <w:pStyle w:val="Heading2"/>
      </w:pPr>
      <w:r>
        <w:t>BWP Bandwidth Configuration Granularity</w:t>
      </w:r>
    </w:p>
    <w:p w14:paraId="6B4CF5E6" w14:textId="4EE68854" w:rsidR="00A45A4A" w:rsidRDefault="00A45A4A" w:rsidP="00A45A4A">
      <w:pPr>
        <w:rPr>
          <w:lang w:val="en-GB"/>
        </w:rPr>
      </w:pPr>
      <w:bookmarkStart w:id="133" w:name="_GoBack"/>
      <w:r>
        <w:rPr>
          <w:lang w:val="en-GB"/>
        </w:rPr>
        <w:t>In RAN1 #90bis, the following agreement on BWP configuration was made:</w:t>
      </w:r>
    </w:p>
    <w:p w14:paraId="65CCAE18" w14:textId="77777777" w:rsidR="00A45A4A" w:rsidRPr="009608A4" w:rsidRDefault="00A45A4A" w:rsidP="00A45A4A">
      <w:pPr>
        <w:numPr>
          <w:ilvl w:val="0"/>
          <w:numId w:val="29"/>
        </w:numPr>
        <w:overflowPunct/>
        <w:autoSpaceDE/>
        <w:autoSpaceDN/>
        <w:adjustRightInd/>
        <w:spacing w:after="0"/>
        <w:textAlignment w:val="auto"/>
      </w:pPr>
      <w:r w:rsidRPr="009608A4">
        <w:t>A DL (or UL) BWP is configured to a UE by resource allocation Type 1 with granularity as follows</w:t>
      </w:r>
    </w:p>
    <w:p w14:paraId="783FC840" w14:textId="77777777" w:rsidR="00A45A4A" w:rsidRPr="002B4EFE" w:rsidRDefault="00A45A4A" w:rsidP="00A45A4A">
      <w:pPr>
        <w:numPr>
          <w:ilvl w:val="1"/>
          <w:numId w:val="29"/>
        </w:numPr>
        <w:overflowPunct/>
        <w:autoSpaceDE/>
        <w:autoSpaceDN/>
        <w:adjustRightInd/>
        <w:spacing w:after="0"/>
        <w:textAlignment w:val="auto"/>
      </w:pPr>
      <w:r w:rsidRPr="002B4EFE">
        <w:t>Granularity of starting frequency location: 1 PRB</w:t>
      </w:r>
    </w:p>
    <w:p w14:paraId="41F230EB" w14:textId="77777777" w:rsidR="00A45A4A" w:rsidRPr="002B4EFE" w:rsidRDefault="00A45A4A" w:rsidP="00A45A4A">
      <w:pPr>
        <w:numPr>
          <w:ilvl w:val="1"/>
          <w:numId w:val="29"/>
        </w:numPr>
        <w:overflowPunct/>
        <w:autoSpaceDE/>
        <w:autoSpaceDN/>
        <w:adjustRightInd/>
        <w:spacing w:after="0"/>
        <w:textAlignment w:val="auto"/>
      </w:pPr>
      <w:r w:rsidRPr="002B4EFE">
        <w:t>Granularity of bandwidth size: 1 PRB</w:t>
      </w:r>
    </w:p>
    <w:p w14:paraId="034B6FFB" w14:textId="77777777" w:rsidR="00A45A4A" w:rsidRDefault="00A45A4A" w:rsidP="00A45A4A">
      <w:pPr>
        <w:numPr>
          <w:ilvl w:val="1"/>
          <w:numId w:val="29"/>
        </w:numPr>
        <w:overflowPunct/>
        <w:autoSpaceDE/>
        <w:autoSpaceDN/>
        <w:adjustRightInd/>
        <w:spacing w:after="120"/>
        <w:ind w:left="1434" w:hanging="357"/>
        <w:textAlignment w:val="auto"/>
      </w:pPr>
      <w:r w:rsidRPr="002B4EFE">
        <w:t xml:space="preserve">Note: The above granularity doesn’t imply that a UE shall adapt its </w:t>
      </w:r>
      <w:r w:rsidRPr="002B4EFE">
        <w:rPr>
          <w:rFonts w:hint="eastAsia"/>
        </w:rPr>
        <w:t xml:space="preserve">RF </w:t>
      </w:r>
      <w:r w:rsidRPr="002B4EFE">
        <w:t>channel bandwidth accordingly</w:t>
      </w:r>
    </w:p>
    <w:p w14:paraId="7D08D68E" w14:textId="4A798090" w:rsidR="00A45A4A" w:rsidRDefault="009440F6" w:rsidP="00A45A4A">
      <w:pPr>
        <w:rPr>
          <w:lang w:val="en-GB"/>
        </w:rPr>
      </w:pPr>
      <w:r>
        <w:rPr>
          <w:lang w:val="en-GB"/>
        </w:rPr>
        <w:t>More recently, RAN4 had agreed that only BWPs with bandwidth same as the channel bandwidths set will be tested. From use case point of view, especially for UE power saving use case, it is unclear why coarse bandwidth granularity based on the channel bandwidths set would not be sufficient.</w:t>
      </w:r>
    </w:p>
    <w:p w14:paraId="3245E53C" w14:textId="08F0AB4C" w:rsidR="009440F6" w:rsidRDefault="009440F6" w:rsidP="00A45A4A">
      <w:pPr>
        <w:rPr>
          <w:lang w:val="en-GB"/>
        </w:rPr>
      </w:pPr>
      <w:r>
        <w:rPr>
          <w:lang w:val="en-GB"/>
        </w:rPr>
        <w:t>BWP configuration is part of RRC configuration and is defined in RAN2 specification. PRB granularity for BWP bandwidth configuration should be revisited by RAN1/2/4.</w:t>
      </w:r>
    </w:p>
    <w:p w14:paraId="13E83869" w14:textId="6D636D81" w:rsidR="009440F6" w:rsidRDefault="009440F6" w:rsidP="00274E57">
      <w:pPr>
        <w:pStyle w:val="Caption"/>
        <w:rPr>
          <w:lang w:val="en-GB"/>
        </w:rPr>
      </w:pPr>
      <w:bookmarkStart w:id="134" w:name="_Toc510816480"/>
      <w:r>
        <w:t xml:space="preserve">Proposal </w:t>
      </w:r>
      <w:fldSimple w:instr=" SEQ Proposal \* ARABIC ">
        <w:r w:rsidR="006240DB">
          <w:rPr>
            <w:noProof/>
          </w:rPr>
          <w:t>22</w:t>
        </w:r>
      </w:fldSimple>
      <w:r>
        <w:t>: BWP bandwidth size granularity for RRC configuration should be revisited. It is not clear PRB granularity is still needed, given that RAN4 has agreed to test only BWP configured with bandwidth size among the channel bandwidths set.</w:t>
      </w:r>
      <w:bookmarkEnd w:id="134"/>
    </w:p>
    <w:bookmarkEnd w:id="133"/>
    <w:p w14:paraId="6E88D4BA" w14:textId="77777777" w:rsidR="00A45A4A" w:rsidRPr="00274E57" w:rsidRDefault="00A45A4A" w:rsidP="00274E57">
      <w:pPr>
        <w:rPr>
          <w:lang w:val="en-GB"/>
        </w:rPr>
      </w:pPr>
    </w:p>
    <w:p w14:paraId="16CFBAF1" w14:textId="7203D363" w:rsidR="00E4038C" w:rsidRDefault="00E4038C" w:rsidP="00C227E3">
      <w:pPr>
        <w:pStyle w:val="Heading1"/>
        <w:rPr>
          <w:lang w:eastAsia="zh-CN"/>
        </w:rPr>
      </w:pPr>
      <w:r w:rsidRPr="00C227E3">
        <w:t>Conclusions</w:t>
      </w:r>
    </w:p>
    <w:p w14:paraId="4A7CCD54" w14:textId="308306FC" w:rsidR="00AF5673" w:rsidRDefault="003B4AAF" w:rsidP="00AF5673">
      <w:pPr>
        <w:spacing w:after="120"/>
      </w:pPr>
      <w:r>
        <w:t xml:space="preserve">We discussed some of the remaining issues on BWP. </w:t>
      </w:r>
      <w:r w:rsidR="007B645F">
        <w:t xml:space="preserve">The following </w:t>
      </w:r>
      <w:r w:rsidR="00002E3E">
        <w:t xml:space="preserve">observations and </w:t>
      </w:r>
      <w:r w:rsidR="007B645F">
        <w:t>proposals have been made:</w:t>
      </w:r>
    </w:p>
    <w:p w14:paraId="2DAFCED6" w14:textId="05F47F40" w:rsidR="00002E3E" w:rsidRDefault="00002E3E" w:rsidP="00AF5673">
      <w:pPr>
        <w:spacing w:after="120"/>
      </w:pPr>
    </w:p>
    <w:p w14:paraId="4AA0EEB5" w14:textId="60E0F533" w:rsidR="006240DB" w:rsidRDefault="00106E61">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510816458" w:history="1">
        <w:r w:rsidR="006240DB" w:rsidRPr="009934A6">
          <w:rPr>
            <w:rStyle w:val="Hyperlink"/>
            <w:noProof/>
          </w:rPr>
          <w:t>Observation 1: For Type 1 allocation, straight-forward application of DCI bit-field truncation/zero-padding rule to frequency-domain resource allocation field would result in resource allocation limitation that can be highly undesirable. A special transformation rule should be devised.</w:t>
        </w:r>
      </w:hyperlink>
    </w:p>
    <w:p w14:paraId="06C74C3C" w14:textId="7CC456D6" w:rsidR="00106E61" w:rsidRDefault="00106E61" w:rsidP="00AF5673">
      <w:pPr>
        <w:spacing w:after="120"/>
      </w:pPr>
      <w:r>
        <w:fldChar w:fldCharType="end"/>
      </w:r>
    </w:p>
    <w:p w14:paraId="10643EEC" w14:textId="4063F0CA" w:rsidR="006240DB" w:rsidRDefault="00106E61">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"Proposal" </w:instrText>
      </w:r>
      <w:r>
        <w:fldChar w:fldCharType="separate"/>
      </w:r>
      <w:hyperlink w:anchor="_Toc510816459" w:history="1">
        <w:r w:rsidR="006240DB" w:rsidRPr="00EA6E4D">
          <w:rPr>
            <w:rStyle w:val="Hyperlink"/>
            <w:noProof/>
          </w:rPr>
          <w:t>Proposal 1: At least for Type 1 allocation, the frequency-domain resource allocation field in a cross-BWP scheduling DCI is interpreted based on the current BWP. The physical resource block allocation is directly mapped to the new BWP.</w:t>
        </w:r>
      </w:hyperlink>
    </w:p>
    <w:p w14:paraId="70CE8FDD" w14:textId="441E509E"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0" w:history="1">
        <w:r w:rsidRPr="00EA6E4D">
          <w:rPr>
            <w:rStyle w:val="Hyperlink"/>
            <w:noProof/>
          </w:rPr>
          <w:t>Proposal 2: Revise the working assumption by adding support for null-assignment for BWP switch DCI.</w:t>
        </w:r>
      </w:hyperlink>
    </w:p>
    <w:p w14:paraId="3F7210F7" w14:textId="6DEECB9A"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1" w:history="1">
        <w:r w:rsidRPr="00EA6E4D">
          <w:rPr>
            <w:rStyle w:val="Hyperlink"/>
            <w:noProof/>
          </w:rPr>
          <w:t xml:space="preserve">Proposal 3: If a UE identifies null assignment in a BWP switch DCI, it is expected to process at least the BWP ID field, the time domain resource assignment field, and in case of a DL scheduling DCI, also the </w:t>
        </w:r>
        <w:r w:rsidRPr="00EA6E4D">
          <w:rPr>
            <w:rStyle w:val="Hyperlink"/>
            <w:noProof/>
            <w:lang w:eastAsia="zh-CN"/>
          </w:rPr>
          <w:t>PUCCH resource indicator</w:t>
        </w:r>
        <w:r w:rsidRPr="00EA6E4D">
          <w:rPr>
            <w:rStyle w:val="Hyperlink"/>
            <w:noProof/>
          </w:rPr>
          <w:t xml:space="preserve"> and </w:t>
        </w:r>
        <w:r w:rsidRPr="00EA6E4D">
          <w:rPr>
            <w:rStyle w:val="Hyperlink"/>
            <w:noProof/>
            <w:lang w:eastAsia="zh-CN"/>
          </w:rPr>
          <w:t>PDSCH-to-HARQ_feedback timing indicator fields. The information is needed because UE should follow the same overall timeline as in the case of a real assignment. In case UE detects a DL scheduling DCI with null assignment, UE is also expected to transmit ACK in the indicated PUCCH resource respecting the original timeline. In addition, other DCI fields should be processed except the subset of fields not relevant for a null assignment, which should be further specified.</w:t>
        </w:r>
      </w:hyperlink>
    </w:p>
    <w:p w14:paraId="16019AFD" w14:textId="5F0CFDF8"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2" w:history="1">
        <w:r w:rsidRPr="00EA6E4D">
          <w:rPr>
            <w:rStyle w:val="Hyperlink"/>
            <w:noProof/>
          </w:rPr>
          <w:t>Proposal 4: For cross-BWP scheduling, time-domain resource allocation field size is determined based on current BWP, and the new BWP’s table (pdsch-symbolAllocation or pusch-symbolAllocation) is used.</w:t>
        </w:r>
      </w:hyperlink>
    </w:p>
    <w:p w14:paraId="56A3ABC8" w14:textId="63C95E7F"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3" w:history="1">
        <w:r w:rsidRPr="00EA6E4D">
          <w:rPr>
            <w:rStyle w:val="Hyperlink"/>
            <w:noProof/>
          </w:rPr>
          <w:t>Proposal 5: When the number of bits in the time-domain resource allocation field is not sufficient to address all the rows in the new BWP’s table, UE expects only the lower-indexed rows, i.e. starting from the first row, can be addressed.</w:t>
        </w:r>
      </w:hyperlink>
    </w:p>
    <w:p w14:paraId="6002099F" w14:textId="569C9444"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4" w:history="1">
        <w:r w:rsidRPr="00EA6E4D">
          <w:rPr>
            <w:rStyle w:val="Hyperlink"/>
            <w:noProof/>
          </w:rPr>
          <w:t>Proposal 6: When the number of bits in the time-domain resource allocation field contain too many bits for the new BWP’s table, UE expects that only the lower bits are used to sufficiently address all rows in the new BWP’s table. In other words, truncation starts from the MSB.</w:t>
        </w:r>
      </w:hyperlink>
    </w:p>
    <w:p w14:paraId="4937FD2A" w14:textId="67D3D244"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5" w:history="1">
        <w:r w:rsidRPr="00EA6E4D">
          <w:rPr>
            <w:rStyle w:val="Hyperlink"/>
            <w:noProof/>
          </w:rPr>
          <w:t>Proposal 7: For cross-BWP scheduling and in case the BWPs have different numerology, the new BWP’s numerology is used for interpretation of k0 or k2 (for DCI Format 1-1 or 0-1 respectively).</w:t>
        </w:r>
      </w:hyperlink>
    </w:p>
    <w:p w14:paraId="03F81D63" w14:textId="74645E02"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6" w:history="1">
        <w:r w:rsidRPr="00EA6E4D">
          <w:rPr>
            <w:rStyle w:val="Hyperlink"/>
            <w:noProof/>
          </w:rPr>
          <w:t>Proposal 8: DCI Format 1-1 indicating BWP switch is considered to be in effect from the start of the BWP transition time to the end of the last symbol of the expected HARQ-ACK corresponding to the PDSCH scheduled by the DCI.</w:t>
        </w:r>
      </w:hyperlink>
    </w:p>
    <w:p w14:paraId="608C0C5F" w14:textId="05DFED74"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7" w:history="1">
        <w:r w:rsidRPr="00EA6E4D">
          <w:rPr>
            <w:rStyle w:val="Hyperlink"/>
            <w:noProof/>
          </w:rPr>
          <w:t>Proposal 9: DCI Format 0-1 indicating BWP switch is considered to be in effect from the start of the BWP transition time to the end of the last symbol of the expected PUSCH scheduled by the DCI.</w:t>
        </w:r>
      </w:hyperlink>
    </w:p>
    <w:p w14:paraId="77C37532" w14:textId="2F0B48C9"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8" w:history="1">
        <w:r w:rsidRPr="00EA6E4D">
          <w:rPr>
            <w:rStyle w:val="Hyperlink"/>
            <w:noProof/>
          </w:rPr>
          <w:t>Proposal 10: When a BWP switch DCI for any link direction is in effect, UE does not expect to receive another BWP switch DCI for the same or the other link direction.</w:t>
        </w:r>
      </w:hyperlink>
    </w:p>
    <w:p w14:paraId="2073F374" w14:textId="556137D2"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69" w:history="1">
        <w:r w:rsidRPr="00EA6E4D">
          <w:rPr>
            <w:rStyle w:val="Hyperlink"/>
            <w:noProof/>
          </w:rPr>
          <w:t>Proposal 11: For paired spectrum, DL BWP switch DCI and UL BWP switch DCI can be supported together in the same slot to switch BWP on both link directions simultaneously.</w:t>
        </w:r>
      </w:hyperlink>
    </w:p>
    <w:p w14:paraId="1B4F7F63" w14:textId="65274997"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0" w:history="1">
        <w:r w:rsidRPr="00EA6E4D">
          <w:rPr>
            <w:rStyle w:val="Hyperlink"/>
            <w:noProof/>
          </w:rPr>
          <w:t>Proposal 12: If the k0 or k2 indicated by a BWP switch DCI (scheduling DL or UL respectively) is not sufficient to accommodate the required BWP switching delay, UE can drop the BWP switch DCI.</w:t>
        </w:r>
      </w:hyperlink>
    </w:p>
    <w:p w14:paraId="53D6AF10" w14:textId="231730F8"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1" w:history="1">
        <w:r w:rsidRPr="00EA6E4D">
          <w:rPr>
            <w:rStyle w:val="Hyperlink"/>
            <w:noProof/>
          </w:rPr>
          <w:t>Proposal 13: If DL BWP transition starts between a DL scheduling DCI (which is not the DCI triggering DL BWP transition) and its corresponding PDSCH, the PDSCH is dropped.</w:t>
        </w:r>
      </w:hyperlink>
    </w:p>
    <w:p w14:paraId="6E06D832" w14:textId="635E75E9"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2" w:history="1">
        <w:r w:rsidRPr="00EA6E4D">
          <w:rPr>
            <w:rStyle w:val="Hyperlink"/>
            <w:noProof/>
          </w:rPr>
          <w:t>Proposal 14: If UL BWP transition starts between a UL scheduling DCI (which is not the DCI triggering UL BWP transition) and its corresponding PUSCH, the PUSCH is dropped. This also applies to the case when the UL scheduling DCI is associated with A-CSI request (including SP-CSI via PUSCH).</w:t>
        </w:r>
      </w:hyperlink>
    </w:p>
    <w:p w14:paraId="17A0D8C6" w14:textId="20D723CE"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3" w:history="1">
        <w:r w:rsidRPr="00EA6E4D">
          <w:rPr>
            <w:rStyle w:val="Hyperlink"/>
            <w:noProof/>
          </w:rPr>
          <w:t>Proposal 15: SRS request triggered by DCI Format 0-1 or 1-1 is dropped during or after a BWP switch.</w:t>
        </w:r>
      </w:hyperlink>
    </w:p>
    <w:p w14:paraId="10A8D8E8" w14:textId="2EE9B640"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4" w:history="1">
        <w:r w:rsidRPr="00EA6E4D">
          <w:rPr>
            <w:rStyle w:val="Hyperlink"/>
            <w:noProof/>
          </w:rPr>
          <w:t>Proposal 16: P-CSI reporting (including SP-CSI via PUCCH) is dropped during or after a BWP switch.</w:t>
        </w:r>
      </w:hyperlink>
    </w:p>
    <w:p w14:paraId="3895FFDE" w14:textId="6EFB5822"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5" w:history="1">
        <w:r w:rsidRPr="00EA6E4D">
          <w:rPr>
            <w:rStyle w:val="Hyperlink"/>
            <w:noProof/>
          </w:rPr>
          <w:t>Proposal 17: A Transition Window shall be specified in the BWP switch, wherein during the Transition window the QCL assumptions for reception of DL Control and Data and transmission of UL control and Data in the new BWP are based on the QCL assumptions derived from the RSs in the old BWP.</w:t>
        </w:r>
      </w:hyperlink>
    </w:p>
    <w:p w14:paraId="6D85BB57" w14:textId="78A3CB37"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6" w:history="1">
        <w:r w:rsidRPr="00EA6E4D">
          <w:rPr>
            <w:rStyle w:val="Hyperlink"/>
            <w:noProof/>
          </w:rPr>
          <w:t>Proposal 18: A simple rule can be specified to interpret the TCI states for Control/Data during the Transition Window. Transition window can be defined to have a length spanning the start of reception in the new BWP to the first RS transmission occasion in the new BWP.</w:t>
        </w:r>
      </w:hyperlink>
    </w:p>
    <w:p w14:paraId="3E70F4B0" w14:textId="2F87D324"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7" w:history="1">
        <w:r w:rsidRPr="00EA6E4D">
          <w:rPr>
            <w:rStyle w:val="Hyperlink"/>
            <w:noProof/>
          </w:rPr>
          <w:t>Proposal 19: For Rel-15, for unpaired spectrum and if SRS feature is enabled, do not support the BWP pair configuration where the UL BWP frequency range is not a superset of that of the DL BWP.</w:t>
        </w:r>
      </w:hyperlink>
    </w:p>
    <w:p w14:paraId="0E67D5FD" w14:textId="29ACEE59"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8" w:history="1">
        <w:r w:rsidRPr="00EA6E4D">
          <w:rPr>
            <w:rStyle w:val="Hyperlink"/>
            <w:noProof/>
          </w:rPr>
          <w:t>Proposal 20: For Rel-15, introduce Type A BWP adaptation as an UE feature as described.</w:t>
        </w:r>
      </w:hyperlink>
    </w:p>
    <w:p w14:paraId="4088FA6A" w14:textId="4C5C215B"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79" w:history="1">
        <w:r w:rsidRPr="00EA6E4D">
          <w:rPr>
            <w:rStyle w:val="Hyperlink"/>
            <w:noProof/>
          </w:rPr>
          <w:t>Proposal 21: Add the following condition to UE feature 6-1 Basic BWP operation: “BW of RRC configured DL BWP includes BW of the same initial DL BWP and cell-defining SSB if there is an initial DL BWP in a carrier”</w:t>
        </w:r>
      </w:hyperlink>
    </w:p>
    <w:p w14:paraId="61FB947D" w14:textId="7A2B5B40" w:rsidR="006240DB" w:rsidRDefault="006240DB">
      <w:pPr>
        <w:pStyle w:val="TableofFigures"/>
        <w:tabs>
          <w:tab w:val="right" w:leader="dot" w:pos="9628"/>
        </w:tabs>
        <w:rPr>
          <w:rFonts w:asciiTheme="minorHAnsi" w:eastAsiaTheme="minorEastAsia" w:hAnsiTheme="minorHAnsi" w:cstheme="minorBidi"/>
          <w:noProof/>
          <w:sz w:val="22"/>
          <w:szCs w:val="22"/>
        </w:rPr>
      </w:pPr>
      <w:hyperlink w:anchor="_Toc510816480" w:history="1">
        <w:r w:rsidRPr="00EA6E4D">
          <w:rPr>
            <w:rStyle w:val="Hyperlink"/>
            <w:noProof/>
          </w:rPr>
          <w:t>Proposal 22: BWP bandwidth size granularity for RRC configuration should be revisited. It is not clear PRB granularity is still needed, given that RAN4 has agreed to test only BWP configured with bandwidth size among the channel bandwidths set.</w:t>
        </w:r>
      </w:hyperlink>
    </w:p>
    <w:p w14:paraId="1BFC40C8" w14:textId="5EC80B13" w:rsidR="00685646" w:rsidRPr="00685646" w:rsidRDefault="00106E61" w:rsidP="00685646">
      <w:r>
        <w:fldChar w:fldCharType="end"/>
      </w:r>
    </w:p>
    <w:p w14:paraId="730A85A5" w14:textId="5E40348E" w:rsidR="00C1473E" w:rsidRDefault="00BA6230" w:rsidP="00395DB2">
      <w:pPr>
        <w:pStyle w:val="Heading1"/>
      </w:pPr>
      <w:r>
        <w:t>References</w:t>
      </w:r>
    </w:p>
    <w:p w14:paraId="3432D32D" w14:textId="719B7AB0" w:rsidR="004734CB" w:rsidRPr="00D13957" w:rsidRDefault="004734CB" w:rsidP="00C5144D">
      <w:pPr>
        <w:numPr>
          <w:ilvl w:val="0"/>
          <w:numId w:val="4"/>
        </w:numPr>
        <w:spacing w:before="100" w:beforeAutospacing="1" w:after="100" w:afterAutospacing="1"/>
        <w:rPr>
          <w:szCs w:val="22"/>
        </w:rPr>
      </w:pPr>
      <w:bookmarkStart w:id="135" w:name="_Ref506485413"/>
      <w:bookmarkStart w:id="136" w:name="_Ref489663439"/>
      <w:r>
        <w:rPr>
          <w:szCs w:val="22"/>
        </w:rPr>
        <w:t>Chairma</w:t>
      </w:r>
      <w:r w:rsidRPr="009D0841">
        <w:rPr>
          <w:szCs w:val="22"/>
        </w:rPr>
        <w:t>n’s Notes</w:t>
      </w:r>
      <w:r>
        <w:tab/>
        <w:t>3GPP TSG RAN WG1 #89</w:t>
      </w:r>
      <w:bookmarkEnd w:id="135"/>
    </w:p>
    <w:p w14:paraId="4CF14352" w14:textId="35C3D243" w:rsidR="004B235E" w:rsidRPr="004B235E" w:rsidRDefault="00D13957" w:rsidP="004B235E">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137" w:name="_Ref494300936"/>
      <w:bookmarkStart w:id="138" w:name="_Ref494542387"/>
      <w:bookmarkStart w:id="139" w:name="_Ref494300927"/>
      <w:bookmarkEnd w:id="136"/>
      <w:r w:rsidRPr="009D0841">
        <w:rPr>
          <w:szCs w:val="22"/>
        </w:rPr>
        <w:t>Chairman’s Notes</w:t>
      </w:r>
      <w:r>
        <w:tab/>
        <w:t xml:space="preserve">3GPP TSG RAN WG1 </w:t>
      </w:r>
      <w:r w:rsidRPr="00A3327A">
        <w:t>NR Ad-Hoc</w:t>
      </w:r>
      <w:r>
        <w:t xml:space="preserve"> #3</w:t>
      </w:r>
      <w:bookmarkEnd w:id="137"/>
      <w:r>
        <w:t>, 2017</w:t>
      </w:r>
      <w:bookmarkStart w:id="140" w:name="_Ref503268227"/>
      <w:bookmarkStart w:id="141" w:name="_Ref506298385"/>
      <w:bookmarkEnd w:id="138"/>
    </w:p>
    <w:p w14:paraId="6DD34B82" w14:textId="606CE746" w:rsidR="007429CA" w:rsidRPr="00642E9F" w:rsidRDefault="007429CA"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142" w:name="_Ref506575220"/>
      <w:r>
        <w:rPr>
          <w:szCs w:val="22"/>
        </w:rPr>
        <w:t>Chairman’s Notes</w:t>
      </w:r>
      <w:r>
        <w:tab/>
        <w:t>3GPP TSG RAN WG1 #9</w:t>
      </w:r>
      <w:bookmarkEnd w:id="139"/>
      <w:r w:rsidR="008B252A">
        <w:t>1</w:t>
      </w:r>
      <w:bookmarkEnd w:id="140"/>
      <w:bookmarkEnd w:id="141"/>
      <w:bookmarkEnd w:id="142"/>
    </w:p>
    <w:p w14:paraId="0015CE87" w14:textId="2ACE4592" w:rsidR="00642E9F" w:rsidRPr="00FA27B9" w:rsidRDefault="00642E9F" w:rsidP="00A32BAD">
      <w:pPr>
        <w:pStyle w:val="ListParagraph"/>
        <w:numPr>
          <w:ilvl w:val="0"/>
          <w:numId w:val="4"/>
        </w:numPr>
        <w:autoSpaceDN w:val="0"/>
        <w:adjustRightInd w:val="0"/>
        <w:spacing w:before="100" w:beforeAutospacing="1" w:after="100" w:afterAutospacing="1"/>
        <w:jc w:val="both"/>
      </w:pPr>
      <w:bookmarkStart w:id="143" w:name="_Ref503538761"/>
      <w:bookmarkStart w:id="144" w:name="_Ref506514750"/>
      <w:r w:rsidRPr="00642E9F">
        <w:rPr>
          <w:rFonts w:eastAsia="SimSun"/>
          <w:lang w:val="en-US" w:eastAsia="ar-SA"/>
        </w:rPr>
        <w:t>3GPP TS 38.214 V15.0.0, NR; Physical Layer Procedures for Data (Release 15).</w:t>
      </w:r>
      <w:bookmarkStart w:id="145" w:name="_Ref503536992"/>
      <w:bookmarkEnd w:id="143"/>
      <w:bookmarkEnd w:id="144"/>
    </w:p>
    <w:p w14:paraId="0E11133F" w14:textId="2934E0E9" w:rsidR="001437FC" w:rsidRDefault="001437FC" w:rsidP="001437FC">
      <w:pPr>
        <w:pStyle w:val="ListParagraph"/>
        <w:numPr>
          <w:ilvl w:val="0"/>
          <w:numId w:val="4"/>
        </w:numPr>
        <w:autoSpaceDN w:val="0"/>
        <w:adjustRightInd w:val="0"/>
        <w:spacing w:before="100" w:beforeAutospacing="1" w:after="100" w:afterAutospacing="1"/>
        <w:jc w:val="both"/>
      </w:pPr>
      <w:bookmarkStart w:id="146" w:name="_Ref506295683"/>
      <w:bookmarkEnd w:id="145"/>
      <w:r w:rsidRPr="001437FC">
        <w:t>R1-1801102, Outcome of offline discussion on 7.3.3.1 (resource allocation) – part II, Ericsson</w:t>
      </w:r>
      <w:bookmarkEnd w:id="146"/>
    </w:p>
    <w:p w14:paraId="6CA51785" w14:textId="274396E5" w:rsidR="00A113B9" w:rsidRDefault="00A113B9" w:rsidP="001437FC">
      <w:pPr>
        <w:pStyle w:val="ListParagraph"/>
        <w:numPr>
          <w:ilvl w:val="0"/>
          <w:numId w:val="4"/>
        </w:numPr>
        <w:autoSpaceDN w:val="0"/>
        <w:adjustRightInd w:val="0"/>
        <w:spacing w:before="100" w:beforeAutospacing="1" w:after="100" w:afterAutospacing="1"/>
        <w:jc w:val="both"/>
      </w:pPr>
      <w:bookmarkStart w:id="147" w:name="_Ref506295816"/>
      <w:r>
        <w:t>Chairman’s Notes</w:t>
      </w:r>
      <w:r>
        <w:tab/>
        <w:t>3GPP TSG RAN WG1 NR AH1801</w:t>
      </w:r>
      <w:bookmarkEnd w:id="147"/>
    </w:p>
    <w:p w14:paraId="1049B9EA" w14:textId="581FD86F" w:rsidR="00C4014D" w:rsidRDefault="00C4014D" w:rsidP="00C4014D">
      <w:pPr>
        <w:pStyle w:val="ListParagraph"/>
        <w:numPr>
          <w:ilvl w:val="0"/>
          <w:numId w:val="4"/>
        </w:numPr>
        <w:autoSpaceDN w:val="0"/>
        <w:adjustRightInd w:val="0"/>
        <w:spacing w:before="100" w:beforeAutospacing="1" w:after="100" w:afterAutospacing="1"/>
        <w:jc w:val="both"/>
      </w:pPr>
      <w:bookmarkStart w:id="148" w:name="_Ref510276323"/>
      <w:r w:rsidRPr="00C4014D">
        <w:t>R1-1802844</w:t>
      </w:r>
      <w:r>
        <w:t>, “Remaining issues on BWP”, RAN1 #92, Qualcomm.</w:t>
      </w:r>
      <w:bookmarkEnd w:id="148"/>
    </w:p>
    <w:p w14:paraId="58BF064B" w14:textId="0620E85D" w:rsidR="0097109D" w:rsidRDefault="0097109D" w:rsidP="0097109D">
      <w:pPr>
        <w:pStyle w:val="ListParagraph"/>
        <w:numPr>
          <w:ilvl w:val="0"/>
          <w:numId w:val="4"/>
        </w:numPr>
        <w:autoSpaceDN w:val="0"/>
        <w:adjustRightInd w:val="0"/>
        <w:spacing w:before="100" w:beforeAutospacing="1" w:after="100" w:afterAutospacing="1"/>
        <w:jc w:val="both"/>
      </w:pPr>
      <w:bookmarkStart w:id="149" w:name="_Ref510329242"/>
      <w:r w:rsidRPr="0097109D">
        <w:t>R1-1802539</w:t>
      </w:r>
      <w:r>
        <w:t>, “</w:t>
      </w:r>
      <w:r w:rsidRPr="0097109D">
        <w:t>On remaining details on BWPs</w:t>
      </w:r>
      <w:r>
        <w:t xml:space="preserve">”, RAN1 #92, </w:t>
      </w:r>
      <w:r w:rsidRPr="0097109D">
        <w:t>Nokia, Nokia Shanghai Bell</w:t>
      </w:r>
      <w:r>
        <w:t>.</w:t>
      </w:r>
      <w:bookmarkEnd w:id="149"/>
    </w:p>
    <w:p w14:paraId="377EDFCC" w14:textId="22951311" w:rsidR="00953415" w:rsidRDefault="00953415" w:rsidP="0097109D">
      <w:pPr>
        <w:pStyle w:val="ListParagraph"/>
        <w:numPr>
          <w:ilvl w:val="0"/>
          <w:numId w:val="4"/>
        </w:numPr>
        <w:autoSpaceDN w:val="0"/>
        <w:adjustRightInd w:val="0"/>
        <w:spacing w:before="100" w:beforeAutospacing="1" w:after="100" w:afterAutospacing="1"/>
        <w:jc w:val="both"/>
      </w:pPr>
      <w:bookmarkStart w:id="150" w:name="_Ref510341113"/>
      <w:r>
        <w:t>R1-1803518, “Outcome of offline session on DCI sizes”, RAN1 #92, Ericsson.</w:t>
      </w:r>
      <w:bookmarkEnd w:id="150"/>
    </w:p>
    <w:p w14:paraId="4C09436C" w14:textId="0273C094" w:rsidR="004E604D" w:rsidRDefault="004E604D" w:rsidP="0097109D">
      <w:pPr>
        <w:pStyle w:val="ListParagraph"/>
        <w:numPr>
          <w:ilvl w:val="0"/>
          <w:numId w:val="4"/>
        </w:numPr>
        <w:autoSpaceDN w:val="0"/>
        <w:adjustRightInd w:val="0"/>
        <w:spacing w:before="100" w:beforeAutospacing="1" w:after="100" w:afterAutospacing="1"/>
        <w:jc w:val="both"/>
      </w:pPr>
      <w:bookmarkStart w:id="151" w:name="_Ref510358192"/>
      <w:r>
        <w:t>Chairman’s Notes</w:t>
      </w:r>
      <w:r>
        <w:tab/>
        <w:t>3GPP TSG RAN WG1 #92</w:t>
      </w:r>
      <w:bookmarkEnd w:id="151"/>
    </w:p>
    <w:p w14:paraId="2DAFAD28" w14:textId="0C18570A" w:rsidR="009068B5" w:rsidRPr="000A2438" w:rsidRDefault="009068B5" w:rsidP="00160B3D">
      <w:pPr>
        <w:pStyle w:val="ListParagraph"/>
        <w:numPr>
          <w:ilvl w:val="0"/>
          <w:numId w:val="4"/>
        </w:numPr>
        <w:autoSpaceDN w:val="0"/>
        <w:adjustRightInd w:val="0"/>
        <w:spacing w:before="100" w:beforeAutospacing="1" w:after="100" w:afterAutospacing="1"/>
        <w:jc w:val="both"/>
      </w:pPr>
      <w:bookmarkStart w:id="152" w:name="_Ref510807220"/>
      <w:r w:rsidRPr="009068B5">
        <w:t>R1-</w:t>
      </w:r>
      <w:r w:rsidR="00160B3D" w:rsidRPr="00160B3D">
        <w:t>1804796</w:t>
      </w:r>
      <w:r>
        <w:t>, “</w:t>
      </w:r>
      <w:r w:rsidR="00160B3D" w:rsidRPr="00160B3D">
        <w:t>Remaining details on QCL</w:t>
      </w:r>
      <w:r>
        <w:t>”, RAN1 #92bis, Qualcomm</w:t>
      </w:r>
      <w:bookmarkEnd w:id="152"/>
    </w:p>
    <w:p w14:paraId="13FAAD42" w14:textId="35DC459A" w:rsidR="00BA6230" w:rsidRDefault="00BA6230" w:rsidP="002B15CF"/>
    <w:p w14:paraId="18E55F07" w14:textId="2181F0F8" w:rsidR="00A91B4C" w:rsidRDefault="00A91B4C" w:rsidP="00A91B4C">
      <w:pPr>
        <w:pStyle w:val="Heading1"/>
      </w:pPr>
      <w:r>
        <w:t>Appendix</w:t>
      </w:r>
    </w:p>
    <w:p w14:paraId="3FCB6349" w14:textId="77777777" w:rsidR="00A91B4C" w:rsidRDefault="00A91B4C" w:rsidP="00D35815">
      <w:pPr>
        <w:pStyle w:val="Heading2"/>
      </w:pPr>
      <w:bookmarkStart w:id="153" w:name="_Ref506306571"/>
      <w:bookmarkStart w:id="154" w:name="_Ref510687668"/>
      <w:r>
        <w:t>Analysis of DCI Field Transformation</w:t>
      </w:r>
      <w:bookmarkEnd w:id="153"/>
      <w:bookmarkEnd w:id="154"/>
    </w:p>
    <w:p w14:paraId="78ACAE2C" w14:textId="77777777" w:rsidR="00A91B4C" w:rsidRDefault="00A91B4C" w:rsidP="00A91B4C">
      <w:pPr>
        <w:rPr>
          <w:lang w:val="en-GB"/>
        </w:rPr>
      </w:pPr>
      <w:r>
        <w:rPr>
          <w:lang w:val="en-GB"/>
        </w:rPr>
        <w:t>Our approach for the analysis is as follows:</w:t>
      </w:r>
    </w:p>
    <w:p w14:paraId="13A2D934" w14:textId="77777777" w:rsidR="00A91B4C" w:rsidRDefault="00A91B4C" w:rsidP="00A91B4C">
      <w:pPr>
        <w:pStyle w:val="ListParagraph"/>
        <w:numPr>
          <w:ilvl w:val="0"/>
          <w:numId w:val="14"/>
        </w:numPr>
      </w:pPr>
      <w:r>
        <w:t>Determine the DCI fields in Format 0_1 and 1_1 whose sizes are dependent on BWP configuration or RRC parameters which can be BWP-specific</w:t>
      </w:r>
    </w:p>
    <w:p w14:paraId="6973663F" w14:textId="77777777" w:rsidR="00A91B4C" w:rsidRDefault="00A91B4C" w:rsidP="00A91B4C">
      <w:pPr>
        <w:pStyle w:val="ListParagraph"/>
        <w:numPr>
          <w:ilvl w:val="0"/>
          <w:numId w:val="14"/>
        </w:numPr>
      </w:pPr>
      <w:r>
        <w:t>Evaluate the impact of applying DCI field transformation, and highlight any major issues</w:t>
      </w:r>
    </w:p>
    <w:p w14:paraId="0B266E3C" w14:textId="77777777" w:rsidR="00A91B4C" w:rsidRDefault="00A91B4C" w:rsidP="00A91B4C">
      <w:pPr>
        <w:pStyle w:val="ListParagraph"/>
        <w:numPr>
          <w:ilvl w:val="0"/>
          <w:numId w:val="14"/>
        </w:numPr>
      </w:pPr>
      <w:r>
        <w:t>Recommend potential solutions addressing the identified issues</w:t>
      </w:r>
    </w:p>
    <w:p w14:paraId="5C5FA420" w14:textId="77777777" w:rsidR="00A91B4C" w:rsidRPr="00370372" w:rsidRDefault="00A91B4C" w:rsidP="00A91B4C"/>
    <w:p w14:paraId="5C283F88" w14:textId="77777777" w:rsidR="00A91B4C" w:rsidRDefault="00A91B4C" w:rsidP="00A91B4C">
      <w:pPr>
        <w:pStyle w:val="Heading4"/>
      </w:pPr>
      <w:r>
        <w:t>Summary</w:t>
      </w:r>
      <w:r w:rsidRPr="000C3FE9">
        <w:t xml:space="preserve"> of DL scheduling DCI (Format 1-1) fields </w:t>
      </w:r>
      <w:r>
        <w:t>with BWP-dependent size</w:t>
      </w:r>
    </w:p>
    <w:tbl>
      <w:tblPr>
        <w:tblStyle w:val="TableGrid"/>
        <w:tblW w:w="0" w:type="auto"/>
        <w:tblLook w:val="04A0" w:firstRow="1" w:lastRow="0" w:firstColumn="1" w:lastColumn="0" w:noHBand="0" w:noVBand="1"/>
      </w:tblPr>
      <w:tblGrid>
        <w:gridCol w:w="1938"/>
        <w:gridCol w:w="1014"/>
        <w:gridCol w:w="2173"/>
        <w:gridCol w:w="1350"/>
        <w:gridCol w:w="3153"/>
      </w:tblGrid>
      <w:tr w:rsidR="00A91B4C" w14:paraId="691B8B44" w14:textId="77777777" w:rsidTr="00A91B4C">
        <w:tc>
          <w:tcPr>
            <w:tcW w:w="1938" w:type="dxa"/>
          </w:tcPr>
          <w:p w14:paraId="0F1A316E" w14:textId="77777777" w:rsidR="00A91B4C" w:rsidRDefault="00A91B4C" w:rsidP="00A91B4C">
            <w:pPr>
              <w:rPr>
                <w:lang w:val="en-GB"/>
              </w:rPr>
            </w:pPr>
          </w:p>
        </w:tc>
        <w:tc>
          <w:tcPr>
            <w:tcW w:w="1014" w:type="dxa"/>
          </w:tcPr>
          <w:p w14:paraId="7AE70773" w14:textId="77777777" w:rsidR="00A91B4C" w:rsidRPr="008C1E59" w:rsidRDefault="00A91B4C" w:rsidP="00A91B4C">
            <w:pPr>
              <w:jc w:val="left"/>
              <w:rPr>
                <w:b/>
                <w:lang w:val="en-GB"/>
              </w:rPr>
            </w:pPr>
            <w:r w:rsidRPr="008C1E59">
              <w:rPr>
                <w:b/>
                <w:lang w:val="en-GB"/>
              </w:rPr>
              <w:t>Size (bits)</w:t>
            </w:r>
          </w:p>
        </w:tc>
        <w:tc>
          <w:tcPr>
            <w:tcW w:w="2173" w:type="dxa"/>
          </w:tcPr>
          <w:p w14:paraId="0C15B35A" w14:textId="77777777" w:rsidR="00A91B4C" w:rsidRPr="008C1E59" w:rsidRDefault="00A91B4C" w:rsidP="00A91B4C">
            <w:pPr>
              <w:jc w:val="left"/>
              <w:rPr>
                <w:b/>
                <w:lang w:val="en-GB"/>
              </w:rPr>
            </w:pPr>
            <w:r w:rsidRPr="008C1E59">
              <w:rPr>
                <w:b/>
                <w:lang w:val="en-GB"/>
              </w:rPr>
              <w:t>RRC param dependence</w:t>
            </w:r>
          </w:p>
        </w:tc>
        <w:tc>
          <w:tcPr>
            <w:tcW w:w="1350" w:type="dxa"/>
          </w:tcPr>
          <w:p w14:paraId="378E3ED1" w14:textId="77777777" w:rsidR="00A91B4C" w:rsidRPr="008C1E59" w:rsidRDefault="00A91B4C" w:rsidP="00A91B4C">
            <w:pPr>
              <w:jc w:val="left"/>
              <w:rPr>
                <w:b/>
                <w:lang w:val="en-GB"/>
              </w:rPr>
            </w:pPr>
            <w:r>
              <w:rPr>
                <w:b/>
                <w:lang w:val="en-GB"/>
              </w:rPr>
              <w:t>Present in fallback (Format 1-0)</w:t>
            </w:r>
          </w:p>
        </w:tc>
        <w:tc>
          <w:tcPr>
            <w:tcW w:w="3153" w:type="dxa"/>
          </w:tcPr>
          <w:p w14:paraId="670C9777" w14:textId="77777777" w:rsidR="00A91B4C" w:rsidRPr="008C1E59" w:rsidRDefault="00A91B4C" w:rsidP="00A91B4C">
            <w:pPr>
              <w:jc w:val="left"/>
              <w:rPr>
                <w:b/>
                <w:lang w:val="en-GB"/>
              </w:rPr>
            </w:pPr>
            <w:r w:rsidRPr="008C1E59">
              <w:rPr>
                <w:b/>
                <w:lang w:val="en-GB"/>
              </w:rPr>
              <w:t xml:space="preserve">Impact of </w:t>
            </w:r>
            <w:r>
              <w:rPr>
                <w:b/>
                <w:lang w:val="en-GB"/>
              </w:rPr>
              <w:t xml:space="preserve">mismatched size (i.e. small to large by </w:t>
            </w:r>
            <w:r w:rsidRPr="008C1E59">
              <w:rPr>
                <w:b/>
                <w:lang w:val="en-GB"/>
              </w:rPr>
              <w:t>zero-padding</w:t>
            </w:r>
            <w:r>
              <w:rPr>
                <w:b/>
                <w:lang w:val="en-GB"/>
              </w:rPr>
              <w:t>)</w:t>
            </w:r>
          </w:p>
        </w:tc>
      </w:tr>
      <w:tr w:rsidR="00A91B4C" w14:paraId="55E02E2C" w14:textId="77777777" w:rsidTr="00A91B4C">
        <w:tc>
          <w:tcPr>
            <w:tcW w:w="1938" w:type="dxa"/>
          </w:tcPr>
          <w:p w14:paraId="60BAA424" w14:textId="77777777" w:rsidR="00A91B4C" w:rsidRPr="00790865" w:rsidRDefault="00A91B4C" w:rsidP="00A91B4C">
            <w:pPr>
              <w:jc w:val="left"/>
            </w:pPr>
            <w:r w:rsidRPr="00E73ED6">
              <w:t>Freq-domain</w:t>
            </w:r>
            <w:r>
              <w:t xml:space="preserve"> </w:t>
            </w:r>
            <w:r w:rsidRPr="00E73ED6">
              <w:t xml:space="preserve">resource assignment </w:t>
            </w:r>
          </w:p>
        </w:tc>
        <w:tc>
          <w:tcPr>
            <w:tcW w:w="3187" w:type="dxa"/>
            <w:gridSpan w:val="2"/>
          </w:tcPr>
          <w:p w14:paraId="7337DD41" w14:textId="1D3081C2" w:rsidR="00A91B4C" w:rsidRDefault="00A91B4C" w:rsidP="00A91B4C">
            <w:pPr>
              <w:jc w:val="left"/>
              <w:rPr>
                <w:lang w:val="en-GB"/>
              </w:rPr>
            </w:pPr>
            <w:r>
              <w:rPr>
                <w:lang w:val="en-GB"/>
              </w:rPr>
              <w:t xml:space="preserve">(See Section </w:t>
            </w:r>
            <w:r>
              <w:rPr>
                <w:lang w:val="en-GB"/>
              </w:rPr>
              <w:fldChar w:fldCharType="begin"/>
            </w:r>
            <w:r>
              <w:rPr>
                <w:lang w:val="en-GB"/>
              </w:rPr>
              <w:instrText xml:space="preserve"> REF _Ref506507851 \r \h  \* MERGEFORMAT </w:instrText>
            </w:r>
            <w:r>
              <w:rPr>
                <w:lang w:val="en-GB"/>
              </w:rPr>
            </w:r>
            <w:r>
              <w:rPr>
                <w:lang w:val="en-GB"/>
              </w:rPr>
              <w:fldChar w:fldCharType="separate"/>
            </w:r>
            <w:r w:rsidR="006240DB">
              <w:rPr>
                <w:lang w:val="en-GB"/>
              </w:rPr>
              <w:t>2.1.3</w:t>
            </w:r>
            <w:r>
              <w:rPr>
                <w:lang w:val="en-GB"/>
              </w:rPr>
              <w:fldChar w:fldCharType="end"/>
            </w:r>
            <w:r>
              <w:rPr>
                <w:lang w:val="en-GB"/>
              </w:rPr>
              <w:t xml:space="preserve"> for detail discussion)</w:t>
            </w:r>
          </w:p>
        </w:tc>
        <w:tc>
          <w:tcPr>
            <w:tcW w:w="1350" w:type="dxa"/>
          </w:tcPr>
          <w:p w14:paraId="41300132" w14:textId="77777777" w:rsidR="00A91B4C" w:rsidRPr="00E73ED6" w:rsidRDefault="00A91B4C" w:rsidP="00A91B4C">
            <w:pPr>
              <w:jc w:val="left"/>
            </w:pPr>
            <w:r>
              <w:t>Y</w:t>
            </w:r>
          </w:p>
        </w:tc>
        <w:tc>
          <w:tcPr>
            <w:tcW w:w="3153" w:type="dxa"/>
          </w:tcPr>
          <w:p w14:paraId="69AABB4B" w14:textId="77777777" w:rsidR="00A91B4C" w:rsidRPr="00117A90" w:rsidRDefault="00A91B4C" w:rsidP="00A91B4C">
            <w:pPr>
              <w:jc w:val="left"/>
            </w:pPr>
            <w:r w:rsidRPr="00E73ED6">
              <w:t xml:space="preserve">Some </w:t>
            </w:r>
            <w:r>
              <w:t>PRB</w:t>
            </w:r>
            <w:r w:rsidRPr="00E73ED6">
              <w:t xml:space="preserve"> may not be schedulable</w:t>
            </w:r>
          </w:p>
        </w:tc>
      </w:tr>
      <w:tr w:rsidR="00A91B4C" w14:paraId="7D76D2C4" w14:textId="77777777" w:rsidTr="00A91B4C">
        <w:tc>
          <w:tcPr>
            <w:tcW w:w="1938" w:type="dxa"/>
          </w:tcPr>
          <w:p w14:paraId="1458267A" w14:textId="77777777" w:rsidR="00A91B4C" w:rsidRDefault="00A91B4C" w:rsidP="00A91B4C">
            <w:pPr>
              <w:jc w:val="left"/>
              <w:rPr>
                <w:lang w:val="en-GB"/>
              </w:rPr>
            </w:pPr>
            <w:r w:rsidRPr="00A71F72">
              <w:rPr>
                <w:color w:val="000000" w:themeColor="text1"/>
                <w:lang w:val="en-GB"/>
              </w:rPr>
              <w:t>Time-domain resource assignment</w:t>
            </w:r>
          </w:p>
        </w:tc>
        <w:tc>
          <w:tcPr>
            <w:tcW w:w="1014" w:type="dxa"/>
          </w:tcPr>
          <w:p w14:paraId="14C8DDA8" w14:textId="77777777" w:rsidR="00A91B4C" w:rsidRDefault="00A91B4C" w:rsidP="00A91B4C">
            <w:pPr>
              <w:jc w:val="left"/>
              <w:rPr>
                <w:lang w:val="en-GB"/>
              </w:rPr>
            </w:pPr>
            <w:r>
              <w:rPr>
                <w:lang w:val="en-GB"/>
              </w:rPr>
              <w:t>0,1,2,3,4</w:t>
            </w:r>
          </w:p>
        </w:tc>
        <w:tc>
          <w:tcPr>
            <w:tcW w:w="2173" w:type="dxa"/>
          </w:tcPr>
          <w:p w14:paraId="78EC2682" w14:textId="77777777" w:rsidR="00A91B4C" w:rsidRPr="00E73ED6" w:rsidRDefault="00A91B4C" w:rsidP="00A91B4C">
            <w:r w:rsidRPr="00E73ED6">
              <w:rPr>
                <w:i/>
                <w:iCs/>
                <w:lang w:val="en-GB"/>
              </w:rPr>
              <w:t>pdsch-symbolAllocation</w:t>
            </w:r>
          </w:p>
        </w:tc>
        <w:tc>
          <w:tcPr>
            <w:tcW w:w="1350" w:type="dxa"/>
          </w:tcPr>
          <w:p w14:paraId="168E3713" w14:textId="77777777" w:rsidR="00A91B4C" w:rsidRPr="00E73ED6" w:rsidRDefault="00A91B4C" w:rsidP="00A91B4C">
            <w:pPr>
              <w:jc w:val="left"/>
            </w:pPr>
            <w:r>
              <w:t>Y (fixed to X bits)</w:t>
            </w:r>
          </w:p>
        </w:tc>
        <w:tc>
          <w:tcPr>
            <w:tcW w:w="3153" w:type="dxa"/>
          </w:tcPr>
          <w:p w14:paraId="68E39277" w14:textId="28F099A8" w:rsidR="00A91B4C" w:rsidRPr="00790865" w:rsidRDefault="00A91B4C" w:rsidP="00A91B4C">
            <w:pPr>
              <w:jc w:val="left"/>
            </w:pPr>
            <w:r w:rsidRPr="00E73ED6">
              <w:t>Index to a configurable table</w:t>
            </w:r>
            <w:r>
              <w:t xml:space="preserve">. Limited k0, SLIV, PDSCH type combinations may be supported. Requires special handling (discussed more in Section </w:t>
            </w:r>
            <w:r>
              <w:fldChar w:fldCharType="begin"/>
            </w:r>
            <w:r>
              <w:instrText xml:space="preserve"> REF _Ref506568464 \r \h  \* MERGEFORMAT </w:instrText>
            </w:r>
            <w:r>
              <w:fldChar w:fldCharType="separate"/>
            </w:r>
            <w:r w:rsidR="006240DB">
              <w:t>2.1.5</w:t>
            </w:r>
            <w:r>
              <w:fldChar w:fldCharType="end"/>
            </w:r>
            <w:r>
              <w:t>).</w:t>
            </w:r>
          </w:p>
        </w:tc>
      </w:tr>
      <w:tr w:rsidR="00A91B4C" w14:paraId="50920780" w14:textId="77777777" w:rsidTr="00A91B4C">
        <w:tc>
          <w:tcPr>
            <w:tcW w:w="1938" w:type="dxa"/>
          </w:tcPr>
          <w:p w14:paraId="5280ACDA" w14:textId="77777777" w:rsidR="00A91B4C" w:rsidRPr="00E73ED6" w:rsidRDefault="00A91B4C" w:rsidP="00A91B4C">
            <w:pPr>
              <w:jc w:val="left"/>
            </w:pPr>
            <w:r w:rsidRPr="00E73ED6">
              <w:rPr>
                <w:lang w:val="en-GB"/>
              </w:rPr>
              <w:t>VRB-to-PRB mapping</w:t>
            </w:r>
          </w:p>
        </w:tc>
        <w:tc>
          <w:tcPr>
            <w:tcW w:w="1014" w:type="dxa"/>
          </w:tcPr>
          <w:p w14:paraId="2D740695" w14:textId="77777777" w:rsidR="00A91B4C" w:rsidRDefault="00A91B4C" w:rsidP="00A91B4C">
            <w:pPr>
              <w:jc w:val="left"/>
              <w:rPr>
                <w:lang w:val="en-GB"/>
              </w:rPr>
            </w:pPr>
            <w:r>
              <w:rPr>
                <w:lang w:val="en-GB"/>
              </w:rPr>
              <w:t>0,1</w:t>
            </w:r>
          </w:p>
        </w:tc>
        <w:tc>
          <w:tcPr>
            <w:tcW w:w="2173" w:type="dxa"/>
          </w:tcPr>
          <w:p w14:paraId="572D3E5F" w14:textId="77777777" w:rsidR="00A91B4C" w:rsidRPr="00F4460F" w:rsidRDefault="00A91B4C" w:rsidP="00A91B4C">
            <w:r w:rsidRPr="00F4460F">
              <w:rPr>
                <w:i/>
                <w:iCs/>
              </w:rPr>
              <w:t>Resource-allocation-config</w:t>
            </w:r>
          </w:p>
        </w:tc>
        <w:tc>
          <w:tcPr>
            <w:tcW w:w="1350" w:type="dxa"/>
          </w:tcPr>
          <w:p w14:paraId="7DBE9DD9" w14:textId="77777777" w:rsidR="00A91B4C" w:rsidRPr="00F4460F" w:rsidRDefault="00A91B4C" w:rsidP="00A91B4C">
            <w:pPr>
              <w:jc w:val="left"/>
            </w:pPr>
            <w:r>
              <w:t>Y (fixed to 1 bit)</w:t>
            </w:r>
          </w:p>
        </w:tc>
        <w:tc>
          <w:tcPr>
            <w:tcW w:w="3153" w:type="dxa"/>
          </w:tcPr>
          <w:p w14:paraId="14BA77C9" w14:textId="77777777" w:rsidR="00A91B4C" w:rsidRPr="00F4460F" w:rsidRDefault="00A91B4C" w:rsidP="00A91B4C">
            <w:pPr>
              <w:jc w:val="left"/>
            </w:pPr>
            <w:r w:rsidRPr="00F4460F">
              <w:t>May force no VRB-to-PRB mapping, which is okay</w:t>
            </w:r>
          </w:p>
        </w:tc>
      </w:tr>
      <w:tr w:rsidR="00A91B4C" w14:paraId="78FEF5A9" w14:textId="77777777" w:rsidTr="00A91B4C">
        <w:tc>
          <w:tcPr>
            <w:tcW w:w="1938" w:type="dxa"/>
          </w:tcPr>
          <w:p w14:paraId="0D369D28" w14:textId="77777777" w:rsidR="00A91B4C" w:rsidRPr="00E73ED6" w:rsidRDefault="00A91B4C" w:rsidP="00A91B4C">
            <w:pPr>
              <w:jc w:val="left"/>
            </w:pPr>
            <w:r w:rsidRPr="00E73ED6">
              <w:rPr>
                <w:lang w:val="en-GB"/>
              </w:rPr>
              <w:t>PRB bundling size indicator</w:t>
            </w:r>
          </w:p>
        </w:tc>
        <w:tc>
          <w:tcPr>
            <w:tcW w:w="1014" w:type="dxa"/>
          </w:tcPr>
          <w:p w14:paraId="0337D157" w14:textId="77777777" w:rsidR="00A91B4C" w:rsidRDefault="00A91B4C" w:rsidP="00A91B4C">
            <w:pPr>
              <w:jc w:val="left"/>
              <w:rPr>
                <w:lang w:val="en-GB"/>
              </w:rPr>
            </w:pPr>
            <w:r>
              <w:rPr>
                <w:lang w:val="en-GB"/>
              </w:rPr>
              <w:t>0,1</w:t>
            </w:r>
          </w:p>
        </w:tc>
        <w:tc>
          <w:tcPr>
            <w:tcW w:w="2173" w:type="dxa"/>
          </w:tcPr>
          <w:p w14:paraId="0F66A6DD" w14:textId="77777777" w:rsidR="00A91B4C" w:rsidRPr="00F4460F" w:rsidRDefault="00A91B4C" w:rsidP="00A91B4C">
            <w:r w:rsidRPr="00F4460F">
              <w:rPr>
                <w:i/>
                <w:iCs/>
                <w:lang w:val="en-GB"/>
              </w:rPr>
              <w:t>PRB_bundling</w:t>
            </w:r>
          </w:p>
        </w:tc>
        <w:tc>
          <w:tcPr>
            <w:tcW w:w="1350" w:type="dxa"/>
          </w:tcPr>
          <w:p w14:paraId="701C1EDD" w14:textId="77777777" w:rsidR="00A91B4C" w:rsidRPr="00F4460F" w:rsidRDefault="00A91B4C" w:rsidP="00A91B4C">
            <w:pPr>
              <w:jc w:val="left"/>
            </w:pPr>
            <w:r>
              <w:t>N</w:t>
            </w:r>
          </w:p>
        </w:tc>
        <w:tc>
          <w:tcPr>
            <w:tcW w:w="3153" w:type="dxa"/>
          </w:tcPr>
          <w:p w14:paraId="01D8E612" w14:textId="77777777" w:rsidR="00A91B4C" w:rsidRPr="00F4460F" w:rsidRDefault="00A91B4C" w:rsidP="00A91B4C">
            <w:pPr>
              <w:jc w:val="left"/>
            </w:pPr>
            <w:r w:rsidRPr="00F4460F">
              <w:t>May force choosing some particular PRG value</w:t>
            </w:r>
          </w:p>
        </w:tc>
      </w:tr>
      <w:tr w:rsidR="00A91B4C" w14:paraId="265E9D8F" w14:textId="77777777" w:rsidTr="00A91B4C">
        <w:tc>
          <w:tcPr>
            <w:tcW w:w="1938" w:type="dxa"/>
          </w:tcPr>
          <w:p w14:paraId="68234C48" w14:textId="77777777" w:rsidR="00A91B4C" w:rsidRDefault="00A91B4C" w:rsidP="00A91B4C">
            <w:pPr>
              <w:jc w:val="left"/>
              <w:rPr>
                <w:lang w:val="en-GB"/>
              </w:rPr>
            </w:pPr>
            <w:r w:rsidRPr="00B478FC">
              <w:rPr>
                <w:lang w:val="en-GB"/>
              </w:rPr>
              <w:t>Rate matching indicator</w:t>
            </w:r>
          </w:p>
        </w:tc>
        <w:tc>
          <w:tcPr>
            <w:tcW w:w="1014" w:type="dxa"/>
          </w:tcPr>
          <w:p w14:paraId="2D3248B0" w14:textId="77777777" w:rsidR="00A91B4C" w:rsidRDefault="00A91B4C" w:rsidP="00A91B4C">
            <w:pPr>
              <w:jc w:val="left"/>
              <w:rPr>
                <w:lang w:val="en-GB"/>
              </w:rPr>
            </w:pPr>
            <w:r>
              <w:rPr>
                <w:lang w:val="en-GB"/>
              </w:rPr>
              <w:t>0,1,2</w:t>
            </w:r>
          </w:p>
        </w:tc>
        <w:tc>
          <w:tcPr>
            <w:tcW w:w="2173" w:type="dxa"/>
          </w:tcPr>
          <w:p w14:paraId="7D1B5C4E" w14:textId="77777777" w:rsidR="00A91B4C" w:rsidRPr="00F4460F" w:rsidRDefault="00A91B4C" w:rsidP="00A91B4C">
            <w:pPr>
              <w:jc w:val="left"/>
            </w:pPr>
            <w:r w:rsidRPr="00F4460F">
              <w:rPr>
                <w:i/>
                <w:iCs/>
                <w:lang w:val="en-GB"/>
              </w:rPr>
              <w:t>rate-match-PDSCH-resource-set (per BWP or per cell depending on type)</w:t>
            </w:r>
          </w:p>
        </w:tc>
        <w:tc>
          <w:tcPr>
            <w:tcW w:w="1350" w:type="dxa"/>
          </w:tcPr>
          <w:p w14:paraId="1DB10A68" w14:textId="77777777" w:rsidR="00A91B4C" w:rsidRPr="00F4460F" w:rsidRDefault="00A91B4C" w:rsidP="00A91B4C">
            <w:pPr>
              <w:jc w:val="left"/>
            </w:pPr>
            <w:r>
              <w:t>N</w:t>
            </w:r>
          </w:p>
        </w:tc>
        <w:tc>
          <w:tcPr>
            <w:tcW w:w="3153" w:type="dxa"/>
          </w:tcPr>
          <w:p w14:paraId="2BE90B2E" w14:textId="77777777" w:rsidR="00A91B4C" w:rsidRPr="00F4460F" w:rsidRDefault="00A91B4C" w:rsidP="00A91B4C">
            <w:pPr>
              <w:jc w:val="left"/>
            </w:pPr>
            <w:r w:rsidRPr="00F4460F">
              <w:t>This may result in wrong rate matching, potentially decoding failure</w:t>
            </w:r>
            <w:r>
              <w:t xml:space="preserve"> and corruption of HARQ soft buffer.</w:t>
            </w:r>
          </w:p>
        </w:tc>
      </w:tr>
      <w:tr w:rsidR="00A91B4C" w14:paraId="6FBA990F" w14:textId="77777777" w:rsidTr="00A91B4C">
        <w:tc>
          <w:tcPr>
            <w:tcW w:w="1938" w:type="dxa"/>
          </w:tcPr>
          <w:p w14:paraId="16CF331F" w14:textId="77777777" w:rsidR="00A91B4C" w:rsidRDefault="00A91B4C" w:rsidP="00A91B4C">
            <w:pPr>
              <w:jc w:val="left"/>
              <w:rPr>
                <w:lang w:val="en-GB"/>
              </w:rPr>
            </w:pPr>
            <w:r>
              <w:rPr>
                <w:lang w:val="en-GB"/>
              </w:rPr>
              <w:t>ZP CSI-RS trigger</w:t>
            </w:r>
          </w:p>
        </w:tc>
        <w:tc>
          <w:tcPr>
            <w:tcW w:w="1014" w:type="dxa"/>
          </w:tcPr>
          <w:p w14:paraId="25E8DA45" w14:textId="77777777" w:rsidR="00A91B4C" w:rsidRDefault="00A91B4C" w:rsidP="00A91B4C">
            <w:pPr>
              <w:jc w:val="left"/>
              <w:rPr>
                <w:lang w:val="en-GB"/>
              </w:rPr>
            </w:pPr>
            <w:r>
              <w:rPr>
                <w:lang w:val="en-GB"/>
              </w:rPr>
              <w:t>0,1,2</w:t>
            </w:r>
          </w:p>
        </w:tc>
        <w:tc>
          <w:tcPr>
            <w:tcW w:w="2173" w:type="dxa"/>
          </w:tcPr>
          <w:p w14:paraId="710A50C5" w14:textId="77777777" w:rsidR="00A91B4C" w:rsidRPr="00F4460F" w:rsidRDefault="00A91B4C" w:rsidP="00A91B4C">
            <w:r w:rsidRPr="00F4460F">
              <w:rPr>
                <w:i/>
                <w:iCs/>
                <w:lang w:val="en-GB"/>
              </w:rPr>
              <w:t>ZP-CSI-RS-ResourceConfigList</w:t>
            </w:r>
          </w:p>
        </w:tc>
        <w:tc>
          <w:tcPr>
            <w:tcW w:w="1350" w:type="dxa"/>
          </w:tcPr>
          <w:p w14:paraId="33C98F40" w14:textId="77777777" w:rsidR="00A91B4C" w:rsidRPr="00F4460F" w:rsidRDefault="00A91B4C" w:rsidP="00A91B4C">
            <w:pPr>
              <w:jc w:val="left"/>
            </w:pPr>
            <w:r>
              <w:t>N</w:t>
            </w:r>
          </w:p>
        </w:tc>
        <w:tc>
          <w:tcPr>
            <w:tcW w:w="3153" w:type="dxa"/>
          </w:tcPr>
          <w:p w14:paraId="5689637D" w14:textId="77777777" w:rsidR="00A91B4C" w:rsidRPr="00F4460F" w:rsidRDefault="00A91B4C" w:rsidP="00A91B4C">
            <w:pPr>
              <w:jc w:val="left"/>
            </w:pPr>
            <w:r w:rsidRPr="00F4460F">
              <w:t xml:space="preserve">Index to a configurable table. NW should put the most versatile configurations in the top entries, but </w:t>
            </w:r>
            <w:r>
              <w:t xml:space="preserve">this </w:t>
            </w:r>
            <w:r w:rsidRPr="00F4460F">
              <w:t xml:space="preserve">may not </w:t>
            </w:r>
            <w:r>
              <w:t>be sufficient</w:t>
            </w:r>
            <w:r w:rsidRPr="00F4460F">
              <w:t>.</w:t>
            </w:r>
          </w:p>
        </w:tc>
      </w:tr>
      <w:tr w:rsidR="00A91B4C" w14:paraId="41BBEC47" w14:textId="77777777" w:rsidTr="00A91B4C">
        <w:tc>
          <w:tcPr>
            <w:tcW w:w="1938" w:type="dxa"/>
          </w:tcPr>
          <w:p w14:paraId="648ECECE" w14:textId="77777777" w:rsidR="00A91B4C" w:rsidRDefault="00A91B4C" w:rsidP="00A91B4C">
            <w:pPr>
              <w:jc w:val="left"/>
              <w:rPr>
                <w:lang w:val="en-GB"/>
              </w:rPr>
            </w:pPr>
            <w:r>
              <w:rPr>
                <w:lang w:val="en-GB"/>
              </w:rPr>
              <w:t>MCS/NDI/RV</w:t>
            </w:r>
          </w:p>
        </w:tc>
        <w:tc>
          <w:tcPr>
            <w:tcW w:w="1014" w:type="dxa"/>
          </w:tcPr>
          <w:p w14:paraId="55A0A680" w14:textId="77777777" w:rsidR="00A91B4C" w:rsidRPr="008C1E59" w:rsidRDefault="00A91B4C" w:rsidP="00A91B4C">
            <w:r w:rsidRPr="008C1E59">
              <w:t>(5+1+2) x1 or x2</w:t>
            </w:r>
          </w:p>
        </w:tc>
        <w:tc>
          <w:tcPr>
            <w:tcW w:w="2173" w:type="dxa"/>
          </w:tcPr>
          <w:p w14:paraId="0F206B66" w14:textId="77777777" w:rsidR="00A91B4C" w:rsidRPr="008C1E59" w:rsidRDefault="00A91B4C" w:rsidP="00A91B4C">
            <w:r w:rsidRPr="008C1E59">
              <w:rPr>
                <w:i/>
                <w:iCs/>
                <w:lang w:val="en-GB"/>
              </w:rPr>
              <w:t>Number-MCS-HARQ-DL-DCI</w:t>
            </w:r>
          </w:p>
        </w:tc>
        <w:tc>
          <w:tcPr>
            <w:tcW w:w="1350" w:type="dxa"/>
          </w:tcPr>
          <w:p w14:paraId="69C4D4EF" w14:textId="77777777" w:rsidR="00A91B4C" w:rsidRPr="008C1E59" w:rsidRDefault="00A91B4C" w:rsidP="00A91B4C">
            <w:pPr>
              <w:jc w:val="left"/>
            </w:pPr>
            <w:r>
              <w:t>Y (but only single codeword)</w:t>
            </w:r>
          </w:p>
        </w:tc>
        <w:tc>
          <w:tcPr>
            <w:tcW w:w="3153" w:type="dxa"/>
          </w:tcPr>
          <w:p w14:paraId="3F29CD76" w14:textId="77777777" w:rsidR="00A91B4C" w:rsidRPr="008C1E59" w:rsidRDefault="00A91B4C" w:rsidP="00A91B4C">
            <w:pPr>
              <w:jc w:val="left"/>
            </w:pPr>
            <w:r w:rsidRPr="008C1E59">
              <w:t>If current BWP has &lt;=4 layers, and new BWP has &gt;4 layers, this means 2</w:t>
            </w:r>
            <w:r w:rsidRPr="008C1E59">
              <w:rPr>
                <w:vertAlign w:val="superscript"/>
              </w:rPr>
              <w:t>nd</w:t>
            </w:r>
            <w:r w:rsidRPr="008C1E59">
              <w:t xml:space="preserve"> codeword cannot be scheduled. Need special handling</w:t>
            </w:r>
            <w:r>
              <w:t xml:space="preserve"> rule.</w:t>
            </w:r>
          </w:p>
        </w:tc>
      </w:tr>
      <w:tr w:rsidR="00A91B4C" w14:paraId="766C96BE" w14:textId="77777777" w:rsidTr="00A91B4C">
        <w:tc>
          <w:tcPr>
            <w:tcW w:w="1938" w:type="dxa"/>
          </w:tcPr>
          <w:p w14:paraId="61643369" w14:textId="77777777" w:rsidR="00A91B4C" w:rsidRDefault="00A91B4C" w:rsidP="00A91B4C">
            <w:pPr>
              <w:jc w:val="left"/>
              <w:rPr>
                <w:lang w:val="en-GB"/>
              </w:rPr>
            </w:pPr>
            <w:r w:rsidRPr="002D6A23">
              <w:rPr>
                <w:lang w:val="en-GB"/>
              </w:rPr>
              <w:t>Antenna ports</w:t>
            </w:r>
          </w:p>
        </w:tc>
        <w:tc>
          <w:tcPr>
            <w:tcW w:w="1014" w:type="dxa"/>
          </w:tcPr>
          <w:p w14:paraId="5C153842" w14:textId="77777777" w:rsidR="00A91B4C" w:rsidRDefault="00A91B4C" w:rsidP="00A91B4C">
            <w:pPr>
              <w:jc w:val="left"/>
              <w:rPr>
                <w:lang w:val="en-GB"/>
              </w:rPr>
            </w:pPr>
            <w:r>
              <w:rPr>
                <w:lang w:val="en-GB"/>
              </w:rPr>
              <w:t>4,5,6</w:t>
            </w:r>
          </w:p>
        </w:tc>
        <w:tc>
          <w:tcPr>
            <w:tcW w:w="2173" w:type="dxa"/>
          </w:tcPr>
          <w:p w14:paraId="351C1225" w14:textId="77777777" w:rsidR="00A91B4C" w:rsidRPr="008C1E59" w:rsidRDefault="00A91B4C" w:rsidP="00A91B4C">
            <w:pPr>
              <w:jc w:val="left"/>
            </w:pPr>
            <w:r w:rsidRPr="008C1E59">
              <w:rPr>
                <w:i/>
                <w:iCs/>
                <w:lang w:val="en-GB"/>
              </w:rPr>
              <w:t>DL-DMRS-config-type, DL-DMRS-max-len</w:t>
            </w:r>
          </w:p>
        </w:tc>
        <w:tc>
          <w:tcPr>
            <w:tcW w:w="1350" w:type="dxa"/>
          </w:tcPr>
          <w:p w14:paraId="10F0EAF0" w14:textId="77777777" w:rsidR="00A91B4C" w:rsidRPr="008C1E59" w:rsidRDefault="00A91B4C" w:rsidP="00A91B4C">
            <w:pPr>
              <w:jc w:val="left"/>
            </w:pPr>
            <w:r>
              <w:t>N</w:t>
            </w:r>
          </w:p>
        </w:tc>
        <w:tc>
          <w:tcPr>
            <w:tcW w:w="3153" w:type="dxa"/>
          </w:tcPr>
          <w:p w14:paraId="0571B655" w14:textId="77777777" w:rsidR="00A91B4C" w:rsidRPr="008C1E59" w:rsidRDefault="00A91B4C" w:rsidP="00A91B4C">
            <w:pPr>
              <w:jc w:val="left"/>
            </w:pPr>
            <w:r w:rsidRPr="008C1E59">
              <w:t xml:space="preserve">Index to fixed tables defined in the spec. May result in limitation in selection of CDM group, DMRS ports, </w:t>
            </w:r>
            <w:r>
              <w:t>number of</w:t>
            </w:r>
            <w:r w:rsidRPr="008C1E59">
              <w:t xml:space="preserve"> front-loaded sym</w:t>
            </w:r>
            <w:r>
              <w:t>bols</w:t>
            </w:r>
          </w:p>
        </w:tc>
      </w:tr>
      <w:tr w:rsidR="00A91B4C" w14:paraId="4FB67F0A" w14:textId="77777777" w:rsidTr="00A91B4C">
        <w:tc>
          <w:tcPr>
            <w:tcW w:w="1938" w:type="dxa"/>
          </w:tcPr>
          <w:p w14:paraId="3EDFFC3F" w14:textId="77777777" w:rsidR="00A91B4C" w:rsidRDefault="00A91B4C" w:rsidP="00A91B4C">
            <w:pPr>
              <w:jc w:val="left"/>
              <w:rPr>
                <w:lang w:val="en-GB"/>
              </w:rPr>
            </w:pPr>
            <w:r w:rsidRPr="00E73ED6">
              <w:rPr>
                <w:lang w:val="en-GB"/>
              </w:rPr>
              <w:t>Transmission configuration indication</w:t>
            </w:r>
          </w:p>
        </w:tc>
        <w:tc>
          <w:tcPr>
            <w:tcW w:w="1014" w:type="dxa"/>
          </w:tcPr>
          <w:p w14:paraId="31DCD53A" w14:textId="77777777" w:rsidR="00A91B4C" w:rsidRPr="008C1E59" w:rsidRDefault="00A91B4C" w:rsidP="00A91B4C">
            <w:r w:rsidRPr="008C1E59">
              <w:t>0,3</w:t>
            </w:r>
          </w:p>
        </w:tc>
        <w:tc>
          <w:tcPr>
            <w:tcW w:w="2173" w:type="dxa"/>
          </w:tcPr>
          <w:p w14:paraId="7FECF1D3" w14:textId="77777777" w:rsidR="00A91B4C" w:rsidRPr="008C1E59" w:rsidRDefault="00A91B4C" w:rsidP="00A91B4C">
            <w:r w:rsidRPr="008C1E59">
              <w:rPr>
                <w:i/>
                <w:iCs/>
              </w:rPr>
              <w:t>tci-PresentInDCI</w:t>
            </w:r>
          </w:p>
        </w:tc>
        <w:tc>
          <w:tcPr>
            <w:tcW w:w="1350" w:type="dxa"/>
          </w:tcPr>
          <w:p w14:paraId="4006311A" w14:textId="77777777" w:rsidR="00A91B4C" w:rsidRPr="008C1E59" w:rsidRDefault="00A91B4C" w:rsidP="00A91B4C">
            <w:pPr>
              <w:jc w:val="left"/>
            </w:pPr>
            <w:r>
              <w:t>N</w:t>
            </w:r>
          </w:p>
        </w:tc>
        <w:tc>
          <w:tcPr>
            <w:tcW w:w="3153" w:type="dxa"/>
          </w:tcPr>
          <w:p w14:paraId="48967941" w14:textId="77777777" w:rsidR="00A91B4C" w:rsidRPr="008C1E59" w:rsidRDefault="00A91B4C" w:rsidP="00A91B4C">
            <w:pPr>
              <w:jc w:val="left"/>
            </w:pPr>
            <w:r w:rsidRPr="008C1E59">
              <w:t>For 0 -&gt; 3 bits mapping, special handling to assume the disabled case.</w:t>
            </w:r>
          </w:p>
        </w:tc>
      </w:tr>
    </w:tbl>
    <w:p w14:paraId="273486F7" w14:textId="77777777" w:rsidR="00A91B4C" w:rsidRDefault="00A91B4C" w:rsidP="00A91B4C">
      <w:pPr>
        <w:rPr>
          <w:lang w:val="en-GB"/>
        </w:rPr>
      </w:pPr>
    </w:p>
    <w:p w14:paraId="252A6D86" w14:textId="77777777" w:rsidR="00A91B4C" w:rsidRDefault="00A91B4C" w:rsidP="00A91B4C">
      <w:pPr>
        <w:pStyle w:val="Heading4"/>
      </w:pPr>
      <w:r>
        <w:t>Summary</w:t>
      </w:r>
      <w:r w:rsidRPr="000C3FE9">
        <w:t xml:space="preserve"> of UL scheduling DCI (Format 0-1) fields </w:t>
      </w:r>
      <w:r>
        <w:t>with BWP-dependent size</w:t>
      </w:r>
    </w:p>
    <w:tbl>
      <w:tblPr>
        <w:tblStyle w:val="TableGrid"/>
        <w:tblW w:w="0" w:type="auto"/>
        <w:tblLayout w:type="fixed"/>
        <w:tblLook w:val="04A0" w:firstRow="1" w:lastRow="0" w:firstColumn="1" w:lastColumn="0" w:noHBand="0" w:noVBand="1"/>
      </w:tblPr>
      <w:tblGrid>
        <w:gridCol w:w="1756"/>
        <w:gridCol w:w="1216"/>
        <w:gridCol w:w="2153"/>
        <w:gridCol w:w="1440"/>
        <w:gridCol w:w="3063"/>
      </w:tblGrid>
      <w:tr w:rsidR="00A91B4C" w14:paraId="6DBA4B90" w14:textId="77777777" w:rsidTr="00A91B4C">
        <w:tc>
          <w:tcPr>
            <w:tcW w:w="1756" w:type="dxa"/>
          </w:tcPr>
          <w:p w14:paraId="67B88592" w14:textId="77777777" w:rsidR="00A91B4C" w:rsidRDefault="00A91B4C" w:rsidP="00A91B4C">
            <w:pPr>
              <w:rPr>
                <w:lang w:val="en-GB"/>
              </w:rPr>
            </w:pPr>
          </w:p>
        </w:tc>
        <w:tc>
          <w:tcPr>
            <w:tcW w:w="1216" w:type="dxa"/>
          </w:tcPr>
          <w:p w14:paraId="2CE90E5A" w14:textId="77777777" w:rsidR="00A91B4C" w:rsidRPr="008C1E59" w:rsidRDefault="00A91B4C" w:rsidP="00A91B4C">
            <w:pPr>
              <w:jc w:val="left"/>
              <w:rPr>
                <w:b/>
                <w:lang w:val="en-GB"/>
              </w:rPr>
            </w:pPr>
            <w:r w:rsidRPr="008C1E59">
              <w:rPr>
                <w:b/>
                <w:lang w:val="en-GB"/>
              </w:rPr>
              <w:t>Size (bits)</w:t>
            </w:r>
          </w:p>
        </w:tc>
        <w:tc>
          <w:tcPr>
            <w:tcW w:w="2153" w:type="dxa"/>
          </w:tcPr>
          <w:p w14:paraId="03D86425" w14:textId="77777777" w:rsidR="00A91B4C" w:rsidRPr="008C1E59" w:rsidRDefault="00A91B4C" w:rsidP="00A91B4C">
            <w:pPr>
              <w:jc w:val="left"/>
              <w:rPr>
                <w:b/>
                <w:lang w:val="en-GB"/>
              </w:rPr>
            </w:pPr>
            <w:r w:rsidRPr="008C1E59">
              <w:rPr>
                <w:b/>
                <w:lang w:val="en-GB"/>
              </w:rPr>
              <w:t>RRC param dependence</w:t>
            </w:r>
          </w:p>
        </w:tc>
        <w:tc>
          <w:tcPr>
            <w:tcW w:w="1440" w:type="dxa"/>
          </w:tcPr>
          <w:p w14:paraId="1F86A3EE" w14:textId="77777777" w:rsidR="00A91B4C" w:rsidRPr="008C1E59" w:rsidRDefault="00A91B4C" w:rsidP="00A91B4C">
            <w:pPr>
              <w:jc w:val="left"/>
              <w:rPr>
                <w:b/>
                <w:lang w:val="en-GB"/>
              </w:rPr>
            </w:pPr>
            <w:r>
              <w:rPr>
                <w:b/>
                <w:lang w:val="en-GB"/>
              </w:rPr>
              <w:t>Present in fallback (Format 1-0)</w:t>
            </w:r>
          </w:p>
        </w:tc>
        <w:tc>
          <w:tcPr>
            <w:tcW w:w="3063" w:type="dxa"/>
          </w:tcPr>
          <w:p w14:paraId="0B4B95B1" w14:textId="77777777" w:rsidR="00A91B4C" w:rsidRPr="008C1E59" w:rsidRDefault="00A91B4C" w:rsidP="00A91B4C">
            <w:pPr>
              <w:jc w:val="left"/>
              <w:rPr>
                <w:b/>
                <w:lang w:val="en-GB"/>
              </w:rPr>
            </w:pPr>
            <w:r w:rsidRPr="008C1E59">
              <w:rPr>
                <w:b/>
                <w:lang w:val="en-GB"/>
              </w:rPr>
              <w:t xml:space="preserve">Impact of </w:t>
            </w:r>
            <w:r>
              <w:rPr>
                <w:b/>
                <w:lang w:val="en-GB"/>
              </w:rPr>
              <w:t xml:space="preserve">mismatched size (small to large by </w:t>
            </w:r>
            <w:r w:rsidRPr="008C1E59">
              <w:rPr>
                <w:b/>
                <w:lang w:val="en-GB"/>
              </w:rPr>
              <w:t>zero-padding</w:t>
            </w:r>
            <w:r>
              <w:rPr>
                <w:b/>
                <w:lang w:val="en-GB"/>
              </w:rPr>
              <w:t>)</w:t>
            </w:r>
          </w:p>
        </w:tc>
      </w:tr>
      <w:tr w:rsidR="00A91B4C" w14:paraId="2203656F" w14:textId="77777777" w:rsidTr="00A91B4C">
        <w:tc>
          <w:tcPr>
            <w:tcW w:w="1756" w:type="dxa"/>
          </w:tcPr>
          <w:p w14:paraId="1EF1D038" w14:textId="77777777" w:rsidR="00A91B4C" w:rsidRPr="0070777B" w:rsidRDefault="00A91B4C" w:rsidP="00A91B4C">
            <w:pPr>
              <w:jc w:val="left"/>
            </w:pPr>
            <w:r w:rsidRPr="0070777B">
              <w:t xml:space="preserve">Freq-domain resource assignment </w:t>
            </w:r>
          </w:p>
        </w:tc>
        <w:tc>
          <w:tcPr>
            <w:tcW w:w="3369" w:type="dxa"/>
            <w:gridSpan w:val="2"/>
          </w:tcPr>
          <w:p w14:paraId="3DCDC664" w14:textId="052500B6" w:rsidR="00A91B4C" w:rsidRDefault="00A91B4C" w:rsidP="00A91B4C">
            <w:pPr>
              <w:jc w:val="left"/>
              <w:rPr>
                <w:lang w:val="en-GB"/>
              </w:rPr>
            </w:pPr>
            <w:r>
              <w:rPr>
                <w:lang w:val="en-GB"/>
              </w:rPr>
              <w:t xml:space="preserve">(See Section </w:t>
            </w:r>
            <w:r>
              <w:rPr>
                <w:lang w:val="en-GB"/>
              </w:rPr>
              <w:fldChar w:fldCharType="begin"/>
            </w:r>
            <w:r>
              <w:rPr>
                <w:lang w:val="en-GB"/>
              </w:rPr>
              <w:instrText xml:space="preserve"> REF _Ref506507851 \r \h  \* MERGEFORMAT </w:instrText>
            </w:r>
            <w:r>
              <w:rPr>
                <w:lang w:val="en-GB"/>
              </w:rPr>
            </w:r>
            <w:r>
              <w:rPr>
                <w:lang w:val="en-GB"/>
              </w:rPr>
              <w:fldChar w:fldCharType="separate"/>
            </w:r>
            <w:r w:rsidR="006240DB">
              <w:rPr>
                <w:lang w:val="en-GB"/>
              </w:rPr>
              <w:t>2.1.3</w:t>
            </w:r>
            <w:r>
              <w:rPr>
                <w:lang w:val="en-GB"/>
              </w:rPr>
              <w:fldChar w:fldCharType="end"/>
            </w:r>
            <w:r>
              <w:rPr>
                <w:lang w:val="en-GB"/>
              </w:rPr>
              <w:t xml:space="preserve"> for detail discussion)</w:t>
            </w:r>
          </w:p>
        </w:tc>
        <w:tc>
          <w:tcPr>
            <w:tcW w:w="1440" w:type="dxa"/>
          </w:tcPr>
          <w:p w14:paraId="1A40C033" w14:textId="77777777" w:rsidR="00A91B4C" w:rsidRPr="00E73ED6" w:rsidRDefault="00A91B4C" w:rsidP="00A91B4C">
            <w:pPr>
              <w:jc w:val="left"/>
            </w:pPr>
            <w:r>
              <w:t>Y</w:t>
            </w:r>
          </w:p>
        </w:tc>
        <w:tc>
          <w:tcPr>
            <w:tcW w:w="3063" w:type="dxa"/>
          </w:tcPr>
          <w:p w14:paraId="411A1E26" w14:textId="77777777" w:rsidR="00A91B4C" w:rsidRPr="00117A90" w:rsidRDefault="00A91B4C" w:rsidP="00A91B4C">
            <w:pPr>
              <w:jc w:val="left"/>
            </w:pPr>
            <w:r w:rsidRPr="00E73ED6">
              <w:t xml:space="preserve">Some </w:t>
            </w:r>
            <w:r>
              <w:t>PRB</w:t>
            </w:r>
            <w:r w:rsidRPr="00E73ED6">
              <w:t xml:space="preserve"> may not be schedulable</w:t>
            </w:r>
          </w:p>
        </w:tc>
      </w:tr>
      <w:tr w:rsidR="00A91B4C" w14:paraId="79A03853" w14:textId="77777777" w:rsidTr="00A91B4C">
        <w:tc>
          <w:tcPr>
            <w:tcW w:w="1756" w:type="dxa"/>
          </w:tcPr>
          <w:p w14:paraId="77570DB1" w14:textId="77777777" w:rsidR="00A91B4C" w:rsidRPr="0070777B" w:rsidRDefault="00A91B4C" w:rsidP="00A91B4C">
            <w:pPr>
              <w:jc w:val="left"/>
              <w:rPr>
                <w:lang w:val="en-GB"/>
              </w:rPr>
            </w:pPr>
            <w:r w:rsidRPr="002B06F8">
              <w:rPr>
                <w:lang w:val="en-GB"/>
              </w:rPr>
              <w:t>Time-domain resource assignment</w:t>
            </w:r>
          </w:p>
        </w:tc>
        <w:tc>
          <w:tcPr>
            <w:tcW w:w="1216" w:type="dxa"/>
          </w:tcPr>
          <w:p w14:paraId="61B52C3F" w14:textId="77777777" w:rsidR="00A91B4C" w:rsidRDefault="00A91B4C" w:rsidP="00A91B4C">
            <w:pPr>
              <w:jc w:val="left"/>
              <w:rPr>
                <w:lang w:val="en-GB"/>
              </w:rPr>
            </w:pPr>
            <w:r>
              <w:rPr>
                <w:lang w:val="en-GB"/>
              </w:rPr>
              <w:t>0,1,2,3,4</w:t>
            </w:r>
          </w:p>
        </w:tc>
        <w:tc>
          <w:tcPr>
            <w:tcW w:w="2153" w:type="dxa"/>
          </w:tcPr>
          <w:p w14:paraId="7E6F4AEB" w14:textId="77777777" w:rsidR="00A91B4C" w:rsidRPr="006D47A9" w:rsidRDefault="00A91B4C" w:rsidP="00A91B4C">
            <w:pPr>
              <w:jc w:val="left"/>
              <w:rPr>
                <w:i/>
                <w:iCs/>
              </w:rPr>
            </w:pPr>
            <w:r w:rsidRPr="006D47A9">
              <w:rPr>
                <w:i/>
                <w:iCs/>
                <w:lang w:val="en-GB"/>
              </w:rPr>
              <w:t>pusch-symbolAllocation</w:t>
            </w:r>
          </w:p>
        </w:tc>
        <w:tc>
          <w:tcPr>
            <w:tcW w:w="1440" w:type="dxa"/>
          </w:tcPr>
          <w:p w14:paraId="0E9A1801" w14:textId="77777777" w:rsidR="00A91B4C" w:rsidRPr="00E73ED6" w:rsidRDefault="00A91B4C" w:rsidP="00A91B4C">
            <w:pPr>
              <w:jc w:val="left"/>
            </w:pPr>
            <w:r>
              <w:t>Y (fixed to X bits)</w:t>
            </w:r>
          </w:p>
        </w:tc>
        <w:tc>
          <w:tcPr>
            <w:tcW w:w="3063" w:type="dxa"/>
          </w:tcPr>
          <w:p w14:paraId="489790F1" w14:textId="42DA0BD2" w:rsidR="00A91B4C" w:rsidRPr="00790865" w:rsidRDefault="00A91B4C" w:rsidP="00A91B4C">
            <w:pPr>
              <w:jc w:val="left"/>
            </w:pPr>
            <w:r w:rsidRPr="00E73ED6">
              <w:t>Index to a configurable table</w:t>
            </w:r>
            <w:r>
              <w:t xml:space="preserve">. Limited k2, SLIV, PUSCH mapping type combinations may be supported. Requires special handling (discussed more in Section </w:t>
            </w:r>
            <w:r>
              <w:fldChar w:fldCharType="begin"/>
            </w:r>
            <w:r>
              <w:instrText xml:space="preserve"> REF _Ref506568464 \r \h  \* MERGEFORMAT </w:instrText>
            </w:r>
            <w:r>
              <w:fldChar w:fldCharType="separate"/>
            </w:r>
            <w:r w:rsidR="006240DB">
              <w:t>2.1.5</w:t>
            </w:r>
            <w:r>
              <w:fldChar w:fldCharType="end"/>
            </w:r>
            <w:r>
              <w:t>).</w:t>
            </w:r>
          </w:p>
        </w:tc>
      </w:tr>
      <w:tr w:rsidR="00A91B4C" w14:paraId="70C53955" w14:textId="77777777" w:rsidTr="00A91B4C">
        <w:tc>
          <w:tcPr>
            <w:tcW w:w="1756" w:type="dxa"/>
          </w:tcPr>
          <w:p w14:paraId="129DD2FF" w14:textId="77777777" w:rsidR="00A91B4C" w:rsidRPr="0070777B" w:rsidRDefault="00A91B4C" w:rsidP="00A91B4C">
            <w:pPr>
              <w:jc w:val="left"/>
            </w:pPr>
            <w:r w:rsidRPr="0070777B">
              <w:rPr>
                <w:lang w:val="en-GB"/>
              </w:rPr>
              <w:t>VRB-to-PRB mapping</w:t>
            </w:r>
          </w:p>
        </w:tc>
        <w:tc>
          <w:tcPr>
            <w:tcW w:w="1216" w:type="dxa"/>
          </w:tcPr>
          <w:p w14:paraId="4BB44A71" w14:textId="77777777" w:rsidR="00A91B4C" w:rsidRDefault="00A91B4C" w:rsidP="00A91B4C">
            <w:pPr>
              <w:jc w:val="left"/>
              <w:rPr>
                <w:lang w:val="en-GB"/>
              </w:rPr>
            </w:pPr>
            <w:r>
              <w:rPr>
                <w:lang w:val="en-GB"/>
              </w:rPr>
              <w:t>0,1</w:t>
            </w:r>
          </w:p>
        </w:tc>
        <w:tc>
          <w:tcPr>
            <w:tcW w:w="2153" w:type="dxa"/>
          </w:tcPr>
          <w:p w14:paraId="5E98A7AB" w14:textId="77777777" w:rsidR="00A91B4C" w:rsidRPr="006D47A9" w:rsidRDefault="00A91B4C" w:rsidP="00A91B4C">
            <w:pPr>
              <w:jc w:val="left"/>
              <w:rPr>
                <w:i/>
                <w:iCs/>
              </w:rPr>
            </w:pPr>
            <w:r w:rsidRPr="006D47A9">
              <w:rPr>
                <w:i/>
                <w:iCs/>
              </w:rPr>
              <w:t>Resource-allocation-config, PUSCH-tp</w:t>
            </w:r>
          </w:p>
        </w:tc>
        <w:tc>
          <w:tcPr>
            <w:tcW w:w="1440" w:type="dxa"/>
          </w:tcPr>
          <w:p w14:paraId="21652410" w14:textId="77777777" w:rsidR="00A91B4C" w:rsidRPr="006D47A9" w:rsidRDefault="00A91B4C" w:rsidP="00A91B4C">
            <w:pPr>
              <w:jc w:val="left"/>
            </w:pPr>
            <w:r>
              <w:t>N</w:t>
            </w:r>
          </w:p>
        </w:tc>
        <w:tc>
          <w:tcPr>
            <w:tcW w:w="3063" w:type="dxa"/>
          </w:tcPr>
          <w:p w14:paraId="40254497" w14:textId="77777777" w:rsidR="00A91B4C" w:rsidRPr="00F4460F" w:rsidRDefault="00A91B4C" w:rsidP="00A91B4C">
            <w:pPr>
              <w:jc w:val="left"/>
            </w:pPr>
            <w:r w:rsidRPr="006D47A9">
              <w:t>May force no VRB-to-PRB mapping, which is okay</w:t>
            </w:r>
          </w:p>
        </w:tc>
      </w:tr>
      <w:tr w:rsidR="00A91B4C" w14:paraId="218EA158" w14:textId="77777777" w:rsidTr="00A91B4C">
        <w:tc>
          <w:tcPr>
            <w:tcW w:w="1756" w:type="dxa"/>
          </w:tcPr>
          <w:p w14:paraId="593561F8" w14:textId="77777777" w:rsidR="00A91B4C" w:rsidRPr="0070777B" w:rsidRDefault="00A91B4C" w:rsidP="00A91B4C">
            <w:pPr>
              <w:jc w:val="left"/>
            </w:pPr>
            <w:r w:rsidRPr="0070777B">
              <w:rPr>
                <w:lang w:val="en-GB"/>
              </w:rPr>
              <w:t>Frequency hopping flag</w:t>
            </w:r>
          </w:p>
        </w:tc>
        <w:tc>
          <w:tcPr>
            <w:tcW w:w="1216" w:type="dxa"/>
          </w:tcPr>
          <w:p w14:paraId="6FFC5D1A" w14:textId="77777777" w:rsidR="00A91B4C" w:rsidRDefault="00A91B4C" w:rsidP="00A91B4C">
            <w:pPr>
              <w:jc w:val="left"/>
              <w:rPr>
                <w:lang w:val="en-GB"/>
              </w:rPr>
            </w:pPr>
            <w:r>
              <w:rPr>
                <w:lang w:val="en-GB"/>
              </w:rPr>
              <w:t>0,1</w:t>
            </w:r>
          </w:p>
        </w:tc>
        <w:tc>
          <w:tcPr>
            <w:tcW w:w="2153" w:type="dxa"/>
          </w:tcPr>
          <w:p w14:paraId="3F8CB1DF" w14:textId="77777777" w:rsidR="00A91B4C" w:rsidRPr="006D47A9" w:rsidRDefault="00A91B4C" w:rsidP="00A91B4C">
            <w:pPr>
              <w:jc w:val="left"/>
              <w:rPr>
                <w:i/>
                <w:iCs/>
              </w:rPr>
            </w:pPr>
            <w:r w:rsidRPr="006D47A9">
              <w:rPr>
                <w:i/>
                <w:iCs/>
              </w:rPr>
              <w:t>Resource-allocation-config</w:t>
            </w:r>
          </w:p>
        </w:tc>
        <w:tc>
          <w:tcPr>
            <w:tcW w:w="1440" w:type="dxa"/>
          </w:tcPr>
          <w:p w14:paraId="13908292" w14:textId="77777777" w:rsidR="00A91B4C" w:rsidRPr="006D47A9" w:rsidRDefault="00A91B4C" w:rsidP="00A91B4C">
            <w:pPr>
              <w:jc w:val="left"/>
            </w:pPr>
            <w:r>
              <w:t>N</w:t>
            </w:r>
          </w:p>
        </w:tc>
        <w:tc>
          <w:tcPr>
            <w:tcW w:w="3063" w:type="dxa"/>
          </w:tcPr>
          <w:p w14:paraId="29EDC440" w14:textId="77777777" w:rsidR="00A91B4C" w:rsidRPr="00F4460F" w:rsidRDefault="00A91B4C" w:rsidP="00A91B4C">
            <w:pPr>
              <w:jc w:val="left"/>
            </w:pPr>
            <w:r w:rsidRPr="006D47A9">
              <w:t>May force no frequency hopping, which is okay</w:t>
            </w:r>
          </w:p>
        </w:tc>
      </w:tr>
      <w:tr w:rsidR="00A91B4C" w14:paraId="0D2B6B5B" w14:textId="77777777" w:rsidTr="00A91B4C">
        <w:tc>
          <w:tcPr>
            <w:tcW w:w="1756" w:type="dxa"/>
          </w:tcPr>
          <w:p w14:paraId="77D07B7E" w14:textId="77777777" w:rsidR="00A91B4C" w:rsidRPr="006D47A9" w:rsidRDefault="00A91B4C" w:rsidP="00A91B4C">
            <w:pPr>
              <w:jc w:val="left"/>
            </w:pPr>
            <w:r w:rsidRPr="00B478FC">
              <w:rPr>
                <w:lang w:val="en-GB"/>
              </w:rPr>
              <w:t>SRS resource indicator</w:t>
            </w:r>
          </w:p>
        </w:tc>
        <w:tc>
          <w:tcPr>
            <w:tcW w:w="1216" w:type="dxa"/>
          </w:tcPr>
          <w:p w14:paraId="141E7867" w14:textId="77777777" w:rsidR="00A91B4C" w:rsidRPr="006D47A9" w:rsidRDefault="00A91B4C" w:rsidP="00A91B4C">
            <w:pPr>
              <w:jc w:val="left"/>
            </w:pPr>
            <w:r w:rsidRPr="006D47A9">
              <w:rPr>
                <w:lang w:val="en-GB"/>
              </w:rPr>
              <w:t>0, x, y</w:t>
            </w:r>
          </w:p>
        </w:tc>
        <w:tc>
          <w:tcPr>
            <w:tcW w:w="2153" w:type="dxa"/>
          </w:tcPr>
          <w:p w14:paraId="6FFDC2FC" w14:textId="77777777" w:rsidR="00A91B4C" w:rsidRDefault="00A91B4C" w:rsidP="00A91B4C">
            <w:pPr>
              <w:jc w:val="left"/>
              <w:rPr>
                <w:iCs/>
                <w:lang w:val="en-GB"/>
              </w:rPr>
            </w:pPr>
            <w:r w:rsidRPr="006D47A9">
              <w:rPr>
                <w:iCs/>
                <w:lang w:val="en-GB"/>
              </w:rPr>
              <w:t>General guidance is that SRS should be per BWP</w:t>
            </w:r>
            <w:r>
              <w:rPr>
                <w:iCs/>
                <w:lang w:val="en-GB"/>
              </w:rPr>
              <w:t>.</w:t>
            </w:r>
          </w:p>
          <w:p w14:paraId="752E26E5" w14:textId="77777777" w:rsidR="00A91B4C" w:rsidRDefault="00A91B4C" w:rsidP="00A91B4C">
            <w:pPr>
              <w:jc w:val="left"/>
              <w:rPr>
                <w:lang w:val="en-GB"/>
              </w:rPr>
            </w:pPr>
            <w:r>
              <w:rPr>
                <w:iCs/>
              </w:rPr>
              <w:t xml:space="preserve">x = </w:t>
            </w:r>
            <w:r>
              <w:rPr>
                <w:position w:val="-34"/>
                <w:lang w:val="en-GB"/>
              </w:rPr>
              <w:object w:dxaOrig="2364" w:dyaOrig="732" w14:anchorId="38F0390F">
                <v:shape id="_x0000_i1026" type="#_x0000_t75" style="width:108pt;height:36pt" o:ole="">
                  <v:imagedata r:id="rId29" o:title=""/>
                </v:shape>
                <o:OLEObject Type="Embed" ProgID="Equation.3" ShapeID="_x0000_i1026" DrawAspect="Content" ObjectID="_1584558749" r:id="rId30"/>
              </w:object>
            </w:r>
          </w:p>
          <w:p w14:paraId="06970805" w14:textId="77777777" w:rsidR="00A91B4C" w:rsidRPr="006D47A9" w:rsidRDefault="00A91B4C" w:rsidP="00A91B4C">
            <w:pPr>
              <w:jc w:val="left"/>
              <w:rPr>
                <w:iCs/>
              </w:rPr>
            </w:pPr>
            <w:r>
              <w:rPr>
                <w:iCs/>
              </w:rPr>
              <w:t xml:space="preserve">y = </w:t>
            </w:r>
            <w:r>
              <w:rPr>
                <w:position w:val="-12"/>
                <w:lang w:val="en-GB"/>
              </w:rPr>
              <w:object w:dxaOrig="1152" w:dyaOrig="324" w14:anchorId="72C9B901">
                <v:shape id="_x0000_i1027" type="#_x0000_t75" style="width:54.35pt;height:17.65pt" o:ole="">
                  <v:imagedata r:id="rId31" o:title=""/>
                </v:shape>
                <o:OLEObject Type="Embed" ProgID="Equation.3" ShapeID="_x0000_i1027" DrawAspect="Content" ObjectID="_1584558750" r:id="rId32"/>
              </w:object>
            </w:r>
          </w:p>
        </w:tc>
        <w:tc>
          <w:tcPr>
            <w:tcW w:w="1440" w:type="dxa"/>
          </w:tcPr>
          <w:p w14:paraId="6B1B5FC9" w14:textId="77777777" w:rsidR="00A91B4C" w:rsidRPr="006D47A9" w:rsidRDefault="00A91B4C" w:rsidP="00A91B4C">
            <w:pPr>
              <w:jc w:val="left"/>
            </w:pPr>
            <w:r>
              <w:t>N</w:t>
            </w:r>
          </w:p>
        </w:tc>
        <w:tc>
          <w:tcPr>
            <w:tcW w:w="3063" w:type="dxa"/>
          </w:tcPr>
          <w:p w14:paraId="14369629" w14:textId="77777777" w:rsidR="00A91B4C" w:rsidRPr="00F4460F" w:rsidRDefault="00A91B4C" w:rsidP="00A91B4C">
            <w:pPr>
              <w:jc w:val="left"/>
            </w:pPr>
            <w:r w:rsidRPr="006D47A9">
              <w:t>Index to fixed tables defined in the spec. May result in</w:t>
            </w:r>
            <w:r>
              <w:t xml:space="preserve"> severe</w:t>
            </w:r>
            <w:r w:rsidRPr="006D47A9">
              <w:t xml:space="preserve"> limitation on the SRS resources that can be indicated</w:t>
            </w:r>
            <w:r>
              <w:t xml:space="preserve"> for UL transmission.</w:t>
            </w:r>
          </w:p>
        </w:tc>
      </w:tr>
      <w:tr w:rsidR="00A91B4C" w14:paraId="5D48D2EB" w14:textId="77777777" w:rsidTr="00A91B4C">
        <w:tc>
          <w:tcPr>
            <w:tcW w:w="1756" w:type="dxa"/>
          </w:tcPr>
          <w:p w14:paraId="55C227F9" w14:textId="77777777" w:rsidR="00A91B4C" w:rsidRPr="006D47A9" w:rsidRDefault="00A91B4C" w:rsidP="00A91B4C">
            <w:pPr>
              <w:jc w:val="left"/>
            </w:pPr>
            <w:r w:rsidRPr="006D47A9">
              <w:t>Precoding information and number of layers</w:t>
            </w:r>
          </w:p>
        </w:tc>
        <w:tc>
          <w:tcPr>
            <w:tcW w:w="1216" w:type="dxa"/>
          </w:tcPr>
          <w:p w14:paraId="148451DA" w14:textId="77777777" w:rsidR="00A91B4C" w:rsidRPr="006D47A9" w:rsidRDefault="00A91B4C" w:rsidP="00A91B4C">
            <w:pPr>
              <w:jc w:val="left"/>
            </w:pPr>
            <w:r w:rsidRPr="006D47A9">
              <w:t>0</w:t>
            </w:r>
            <w:r>
              <w:t xml:space="preserve"> to 6</w:t>
            </w:r>
          </w:p>
        </w:tc>
        <w:tc>
          <w:tcPr>
            <w:tcW w:w="2153" w:type="dxa"/>
          </w:tcPr>
          <w:p w14:paraId="3344DC3B" w14:textId="77777777" w:rsidR="00A91B4C" w:rsidRPr="006D47A9" w:rsidRDefault="00A91B4C" w:rsidP="00A91B4C">
            <w:pPr>
              <w:jc w:val="left"/>
              <w:rPr>
                <w:i/>
                <w:iCs/>
              </w:rPr>
            </w:pPr>
            <w:r w:rsidRPr="006D47A9">
              <w:rPr>
                <w:i/>
                <w:iCs/>
              </w:rPr>
              <w:t>ulTxConfig, PUSCH-tp, ULmaxRank, ULCodebookSubset</w:t>
            </w:r>
          </w:p>
        </w:tc>
        <w:tc>
          <w:tcPr>
            <w:tcW w:w="1440" w:type="dxa"/>
          </w:tcPr>
          <w:p w14:paraId="73C19A93" w14:textId="77777777" w:rsidR="00A91B4C" w:rsidRPr="006D47A9" w:rsidRDefault="00A91B4C" w:rsidP="00A91B4C">
            <w:pPr>
              <w:jc w:val="left"/>
            </w:pPr>
            <w:r>
              <w:t>N</w:t>
            </w:r>
          </w:p>
        </w:tc>
        <w:tc>
          <w:tcPr>
            <w:tcW w:w="3063" w:type="dxa"/>
          </w:tcPr>
          <w:p w14:paraId="6553DCC1" w14:textId="77777777" w:rsidR="00A91B4C" w:rsidRPr="00F4460F" w:rsidRDefault="00A91B4C" w:rsidP="00A91B4C">
            <w:pPr>
              <w:jc w:val="left"/>
            </w:pPr>
            <w:r w:rsidRPr="006D47A9">
              <w:t>Index to fixed tables defined in the spec. May result in limitation in # layers, TPMI</w:t>
            </w:r>
          </w:p>
        </w:tc>
      </w:tr>
      <w:tr w:rsidR="00A91B4C" w14:paraId="47F0ED09" w14:textId="77777777" w:rsidTr="00A91B4C">
        <w:tc>
          <w:tcPr>
            <w:tcW w:w="1756" w:type="dxa"/>
          </w:tcPr>
          <w:p w14:paraId="4DD07669" w14:textId="77777777" w:rsidR="00A91B4C" w:rsidRDefault="00A91B4C" w:rsidP="00A91B4C">
            <w:pPr>
              <w:jc w:val="left"/>
              <w:rPr>
                <w:lang w:val="en-GB"/>
              </w:rPr>
            </w:pPr>
            <w:r w:rsidRPr="002D6A23">
              <w:rPr>
                <w:lang w:val="en-GB"/>
              </w:rPr>
              <w:t>Antenna ports</w:t>
            </w:r>
          </w:p>
        </w:tc>
        <w:tc>
          <w:tcPr>
            <w:tcW w:w="1216" w:type="dxa"/>
          </w:tcPr>
          <w:p w14:paraId="515B6958" w14:textId="77777777" w:rsidR="00A91B4C" w:rsidRDefault="00A91B4C" w:rsidP="00A91B4C">
            <w:pPr>
              <w:jc w:val="left"/>
              <w:rPr>
                <w:lang w:val="en-GB"/>
              </w:rPr>
            </w:pPr>
            <w:r>
              <w:rPr>
                <w:lang w:val="en-GB"/>
              </w:rPr>
              <w:t>2,3,4,5</w:t>
            </w:r>
          </w:p>
        </w:tc>
        <w:tc>
          <w:tcPr>
            <w:tcW w:w="2153" w:type="dxa"/>
          </w:tcPr>
          <w:p w14:paraId="3AE52E95" w14:textId="77777777" w:rsidR="00A91B4C" w:rsidRPr="006D47A9" w:rsidRDefault="00A91B4C" w:rsidP="00A91B4C">
            <w:pPr>
              <w:jc w:val="left"/>
              <w:rPr>
                <w:i/>
                <w:iCs/>
              </w:rPr>
            </w:pPr>
            <w:r w:rsidRPr="006D47A9">
              <w:rPr>
                <w:i/>
                <w:iCs/>
              </w:rPr>
              <w:t>PUSCH-tp, UL-DMRS-config-type, UL-DMRS-max-len</w:t>
            </w:r>
          </w:p>
        </w:tc>
        <w:tc>
          <w:tcPr>
            <w:tcW w:w="1440" w:type="dxa"/>
          </w:tcPr>
          <w:p w14:paraId="0538ED43" w14:textId="77777777" w:rsidR="00A91B4C" w:rsidRPr="006D47A9" w:rsidRDefault="00A91B4C" w:rsidP="00A91B4C">
            <w:pPr>
              <w:jc w:val="left"/>
            </w:pPr>
            <w:r>
              <w:t>N</w:t>
            </w:r>
          </w:p>
        </w:tc>
        <w:tc>
          <w:tcPr>
            <w:tcW w:w="3063" w:type="dxa"/>
          </w:tcPr>
          <w:p w14:paraId="73F2E2BA" w14:textId="77777777" w:rsidR="00A91B4C" w:rsidRPr="008C1E59" w:rsidRDefault="00A91B4C" w:rsidP="00A91B4C">
            <w:pPr>
              <w:jc w:val="left"/>
            </w:pPr>
            <w:r w:rsidRPr="006D47A9">
              <w:t>Index to fixed tables defined in the spec. May result in limitation in selection of CDM group, DMRS ports, # front-loaded sym.</w:t>
            </w:r>
          </w:p>
        </w:tc>
      </w:tr>
      <w:tr w:rsidR="00A91B4C" w14:paraId="7DDE3E80" w14:textId="77777777" w:rsidTr="00A91B4C">
        <w:tc>
          <w:tcPr>
            <w:tcW w:w="1756" w:type="dxa"/>
          </w:tcPr>
          <w:p w14:paraId="00C248AB" w14:textId="77777777" w:rsidR="00A91B4C" w:rsidRPr="009C1991" w:rsidRDefault="00A91B4C" w:rsidP="00A91B4C">
            <w:pPr>
              <w:jc w:val="left"/>
            </w:pPr>
            <w:r w:rsidRPr="009C1991">
              <w:t>CSI request</w:t>
            </w:r>
          </w:p>
        </w:tc>
        <w:tc>
          <w:tcPr>
            <w:tcW w:w="1216" w:type="dxa"/>
          </w:tcPr>
          <w:p w14:paraId="386A65CB" w14:textId="77777777" w:rsidR="00A91B4C" w:rsidRPr="008C1E59" w:rsidRDefault="00A91B4C" w:rsidP="00A91B4C">
            <w:pPr>
              <w:jc w:val="left"/>
            </w:pPr>
            <w:r w:rsidRPr="009C1991">
              <w:t>0,1,2,3,4,5,6</w:t>
            </w:r>
          </w:p>
        </w:tc>
        <w:tc>
          <w:tcPr>
            <w:tcW w:w="2153" w:type="dxa"/>
          </w:tcPr>
          <w:p w14:paraId="64CFF3E3" w14:textId="77777777" w:rsidR="00A91B4C" w:rsidRPr="008C1E59" w:rsidRDefault="00A91B4C" w:rsidP="00A91B4C">
            <w:pPr>
              <w:jc w:val="left"/>
            </w:pPr>
            <w:r w:rsidRPr="009C1991">
              <w:rPr>
                <w:i/>
                <w:iCs/>
                <w:lang w:val="en-GB"/>
              </w:rPr>
              <w:t>ReportTriggerSize (in CSI-MeasConfig)</w:t>
            </w:r>
          </w:p>
        </w:tc>
        <w:tc>
          <w:tcPr>
            <w:tcW w:w="1440" w:type="dxa"/>
          </w:tcPr>
          <w:p w14:paraId="18CC3A49" w14:textId="77777777" w:rsidR="00A91B4C" w:rsidRDefault="00A91B4C" w:rsidP="00A91B4C">
            <w:pPr>
              <w:jc w:val="left"/>
            </w:pPr>
            <w:r>
              <w:t>N</w:t>
            </w:r>
          </w:p>
        </w:tc>
        <w:tc>
          <w:tcPr>
            <w:tcW w:w="3063" w:type="dxa"/>
          </w:tcPr>
          <w:p w14:paraId="6DE4CECB" w14:textId="77777777" w:rsidR="00A91B4C" w:rsidRPr="008C1E59" w:rsidRDefault="00A91B4C" w:rsidP="00A91B4C">
            <w:pPr>
              <w:jc w:val="left"/>
            </w:pPr>
            <w:r>
              <w:t xml:space="preserve">Various degree of limitation on CSI request: </w:t>
            </w:r>
            <w:r w:rsidRPr="009C1991">
              <w:t xml:space="preserve">0 means no </w:t>
            </w:r>
            <w:r>
              <w:t>A-</w:t>
            </w:r>
            <w:r w:rsidRPr="009C1991">
              <w:t>CSI</w:t>
            </w:r>
            <w:r>
              <w:t xml:space="preserve"> </w:t>
            </w:r>
            <w:r w:rsidRPr="009C1991">
              <w:t xml:space="preserve">request. 1 bit </w:t>
            </w:r>
            <w:r>
              <w:t>for either no aperiodic triggering or one CSI-RS trigger</w:t>
            </w:r>
            <w:r w:rsidRPr="009C1991">
              <w:t>, etc.</w:t>
            </w:r>
          </w:p>
        </w:tc>
      </w:tr>
      <w:tr w:rsidR="00A91B4C" w14:paraId="24A87C26" w14:textId="77777777" w:rsidTr="00A91B4C">
        <w:tc>
          <w:tcPr>
            <w:tcW w:w="1756" w:type="dxa"/>
          </w:tcPr>
          <w:p w14:paraId="52109EF9" w14:textId="77777777" w:rsidR="00A91B4C" w:rsidRPr="009C1991" w:rsidRDefault="00A91B4C" w:rsidP="00A91B4C">
            <w:pPr>
              <w:jc w:val="left"/>
            </w:pPr>
            <w:r w:rsidRPr="009C1991">
              <w:t>PTRS-DMRS</w:t>
            </w:r>
          </w:p>
        </w:tc>
        <w:tc>
          <w:tcPr>
            <w:tcW w:w="1216" w:type="dxa"/>
          </w:tcPr>
          <w:p w14:paraId="62AF94A4" w14:textId="77777777" w:rsidR="00A91B4C" w:rsidRPr="008C1E59" w:rsidRDefault="00A91B4C" w:rsidP="00A91B4C">
            <w:pPr>
              <w:jc w:val="left"/>
            </w:pPr>
            <w:r>
              <w:t>0,2</w:t>
            </w:r>
          </w:p>
        </w:tc>
        <w:tc>
          <w:tcPr>
            <w:tcW w:w="2153" w:type="dxa"/>
          </w:tcPr>
          <w:p w14:paraId="04E63DC9" w14:textId="77777777" w:rsidR="00A91B4C" w:rsidRPr="008C1E59" w:rsidRDefault="00A91B4C" w:rsidP="00A91B4C">
            <w:pPr>
              <w:jc w:val="left"/>
            </w:pPr>
            <w:r w:rsidRPr="009C1991">
              <w:rPr>
                <w:i/>
                <w:iCs/>
              </w:rPr>
              <w:t>UL-PTRS-present</w:t>
            </w:r>
            <w:r w:rsidRPr="009C1991">
              <w:t xml:space="preserve">, </w:t>
            </w:r>
            <w:r w:rsidRPr="009C1991">
              <w:rPr>
                <w:i/>
                <w:iCs/>
              </w:rPr>
              <w:t>PUSCH-tp</w:t>
            </w:r>
          </w:p>
        </w:tc>
        <w:tc>
          <w:tcPr>
            <w:tcW w:w="1440" w:type="dxa"/>
          </w:tcPr>
          <w:p w14:paraId="0FDCF235" w14:textId="77777777" w:rsidR="00A91B4C" w:rsidRPr="009C1991" w:rsidRDefault="00A91B4C" w:rsidP="00A91B4C">
            <w:pPr>
              <w:jc w:val="left"/>
            </w:pPr>
            <w:r>
              <w:t>N</w:t>
            </w:r>
          </w:p>
        </w:tc>
        <w:tc>
          <w:tcPr>
            <w:tcW w:w="3063" w:type="dxa"/>
          </w:tcPr>
          <w:p w14:paraId="2A4498D9" w14:textId="77777777" w:rsidR="00A91B4C" w:rsidRPr="008C1E59" w:rsidRDefault="00A91B4C" w:rsidP="00A91B4C">
            <w:pPr>
              <w:jc w:val="left"/>
            </w:pPr>
            <w:r w:rsidRPr="009C1991">
              <w:t>Index to fixed tables defined in the spec. May result in use of first row only, leading to limitation on DMRS port, etc.</w:t>
            </w:r>
          </w:p>
        </w:tc>
      </w:tr>
      <w:tr w:rsidR="00A91B4C" w14:paraId="62B1D84F" w14:textId="77777777" w:rsidTr="00A91B4C">
        <w:tc>
          <w:tcPr>
            <w:tcW w:w="1756" w:type="dxa"/>
          </w:tcPr>
          <w:p w14:paraId="6EAF83EF" w14:textId="77777777" w:rsidR="00A91B4C" w:rsidRPr="009C1991" w:rsidRDefault="00A91B4C" w:rsidP="00A91B4C">
            <w:pPr>
              <w:jc w:val="left"/>
            </w:pPr>
            <w:r w:rsidRPr="009C1991">
              <w:t>Beta_offset</w:t>
            </w:r>
          </w:p>
        </w:tc>
        <w:tc>
          <w:tcPr>
            <w:tcW w:w="1216" w:type="dxa"/>
          </w:tcPr>
          <w:p w14:paraId="5E6568A0" w14:textId="77777777" w:rsidR="00A91B4C" w:rsidRPr="008C1E59" w:rsidRDefault="00A91B4C" w:rsidP="00A91B4C">
            <w:pPr>
              <w:jc w:val="left"/>
            </w:pPr>
            <w:r>
              <w:t>0,2</w:t>
            </w:r>
          </w:p>
        </w:tc>
        <w:tc>
          <w:tcPr>
            <w:tcW w:w="2153" w:type="dxa"/>
          </w:tcPr>
          <w:p w14:paraId="736BA541" w14:textId="77777777" w:rsidR="00A91B4C" w:rsidRPr="008C1E59" w:rsidRDefault="00A91B4C" w:rsidP="00A91B4C">
            <w:pPr>
              <w:jc w:val="left"/>
            </w:pPr>
            <w:r w:rsidRPr="009C1991">
              <w:rPr>
                <w:i/>
                <w:iCs/>
              </w:rPr>
              <w:t>uci-on-PUSCH</w:t>
            </w:r>
          </w:p>
        </w:tc>
        <w:tc>
          <w:tcPr>
            <w:tcW w:w="1440" w:type="dxa"/>
          </w:tcPr>
          <w:p w14:paraId="03AF945F" w14:textId="77777777" w:rsidR="00A91B4C" w:rsidRPr="009C1991" w:rsidRDefault="00A91B4C" w:rsidP="00A91B4C">
            <w:pPr>
              <w:jc w:val="left"/>
            </w:pPr>
            <w:r>
              <w:t>N</w:t>
            </w:r>
          </w:p>
        </w:tc>
        <w:tc>
          <w:tcPr>
            <w:tcW w:w="3063" w:type="dxa"/>
          </w:tcPr>
          <w:p w14:paraId="01DBA767" w14:textId="77777777" w:rsidR="00A91B4C" w:rsidRPr="008C1E59" w:rsidRDefault="00A91B4C" w:rsidP="00A91B4C">
            <w:pPr>
              <w:jc w:val="left"/>
            </w:pPr>
            <w:r w:rsidRPr="009C1991">
              <w:t>Index to a configurable table. NW should put the most versatile configurations in the top entries, but may not be always feasible.</w:t>
            </w:r>
          </w:p>
        </w:tc>
      </w:tr>
      <w:tr w:rsidR="00A91B4C" w14:paraId="0199CF5D" w14:textId="77777777" w:rsidTr="00A91B4C">
        <w:tc>
          <w:tcPr>
            <w:tcW w:w="1756" w:type="dxa"/>
          </w:tcPr>
          <w:p w14:paraId="5BC429E3" w14:textId="77777777" w:rsidR="00A91B4C" w:rsidRPr="009C1991" w:rsidRDefault="00A91B4C" w:rsidP="00A91B4C">
            <w:pPr>
              <w:jc w:val="left"/>
            </w:pPr>
            <w:r w:rsidRPr="009C1991">
              <w:t>DMRS sequence initialization</w:t>
            </w:r>
          </w:p>
        </w:tc>
        <w:tc>
          <w:tcPr>
            <w:tcW w:w="1216" w:type="dxa"/>
          </w:tcPr>
          <w:p w14:paraId="0F87DC7C" w14:textId="77777777" w:rsidR="00A91B4C" w:rsidRPr="008C1E59" w:rsidRDefault="00A91B4C" w:rsidP="00A91B4C">
            <w:pPr>
              <w:jc w:val="left"/>
            </w:pPr>
            <w:r>
              <w:t>0,1</w:t>
            </w:r>
          </w:p>
        </w:tc>
        <w:tc>
          <w:tcPr>
            <w:tcW w:w="2153" w:type="dxa"/>
          </w:tcPr>
          <w:p w14:paraId="6A222D8D" w14:textId="77777777" w:rsidR="00A91B4C" w:rsidRPr="008C1E59" w:rsidRDefault="00A91B4C" w:rsidP="00A91B4C">
            <w:pPr>
              <w:jc w:val="left"/>
            </w:pPr>
            <w:r w:rsidRPr="009C1991">
              <w:rPr>
                <w:i/>
                <w:iCs/>
              </w:rPr>
              <w:t>PUSCH-tp</w:t>
            </w:r>
          </w:p>
        </w:tc>
        <w:tc>
          <w:tcPr>
            <w:tcW w:w="1440" w:type="dxa"/>
          </w:tcPr>
          <w:p w14:paraId="3C3A7661" w14:textId="77777777" w:rsidR="00A91B4C" w:rsidRPr="009C1991" w:rsidRDefault="00A91B4C" w:rsidP="00A91B4C">
            <w:pPr>
              <w:jc w:val="left"/>
            </w:pPr>
            <w:r>
              <w:t>N</w:t>
            </w:r>
          </w:p>
        </w:tc>
        <w:tc>
          <w:tcPr>
            <w:tcW w:w="3063" w:type="dxa"/>
          </w:tcPr>
          <w:p w14:paraId="29DC4041" w14:textId="77777777" w:rsidR="00A91B4C" w:rsidRPr="008C1E59" w:rsidRDefault="00A91B4C" w:rsidP="00A91B4C">
            <w:pPr>
              <w:jc w:val="left"/>
            </w:pPr>
            <w:r w:rsidRPr="009C1991">
              <w:t>May not be able to do non-orthogonal MU-MIMO</w:t>
            </w:r>
          </w:p>
        </w:tc>
      </w:tr>
    </w:tbl>
    <w:p w14:paraId="04B4DCC9" w14:textId="77777777" w:rsidR="00A91B4C" w:rsidRDefault="00A91B4C" w:rsidP="00A91B4C">
      <w:pPr>
        <w:rPr>
          <w:lang w:val="en-GB"/>
        </w:rPr>
      </w:pPr>
    </w:p>
    <w:p w14:paraId="2986AEC3" w14:textId="77777777" w:rsidR="00A91B4C" w:rsidRDefault="00A91B4C" w:rsidP="00A91B4C">
      <w:pPr>
        <w:rPr>
          <w:lang w:val="en-GB"/>
        </w:rPr>
      </w:pPr>
      <w:r>
        <w:rPr>
          <w:lang w:val="en-GB"/>
        </w:rPr>
        <w:t>Several observations can be made about DCI fields for Format 1_1 and 0_1:</w:t>
      </w:r>
    </w:p>
    <w:p w14:paraId="2EEB4677" w14:textId="77777777" w:rsidR="00A91B4C" w:rsidRDefault="00A91B4C" w:rsidP="00A91B4C">
      <w:pPr>
        <w:pStyle w:val="ListParagraph"/>
        <w:numPr>
          <w:ilvl w:val="0"/>
          <w:numId w:val="17"/>
        </w:numPr>
      </w:pPr>
      <w:r>
        <w:t>Significant percentage of the DCI fields have sizes which are dependent on BWP</w:t>
      </w:r>
    </w:p>
    <w:p w14:paraId="12FB12B2" w14:textId="77777777" w:rsidR="00A91B4C" w:rsidRDefault="00A91B4C" w:rsidP="00A91B4C">
      <w:pPr>
        <w:pStyle w:val="ListParagraph"/>
        <w:numPr>
          <w:ilvl w:val="1"/>
          <w:numId w:val="17"/>
        </w:numPr>
      </w:pPr>
      <w:r>
        <w:t>11 out of 24 fields for Format 0-1</w:t>
      </w:r>
    </w:p>
    <w:p w14:paraId="4508EF1F" w14:textId="77777777" w:rsidR="00A91B4C" w:rsidRDefault="00A91B4C" w:rsidP="00A91B4C">
      <w:pPr>
        <w:pStyle w:val="ListParagraph"/>
        <w:numPr>
          <w:ilvl w:val="1"/>
          <w:numId w:val="17"/>
        </w:numPr>
      </w:pPr>
      <w:r>
        <w:t>9 out of 22 fields for Format 1-1</w:t>
      </w:r>
    </w:p>
    <w:p w14:paraId="02CA6027" w14:textId="77777777" w:rsidR="00A91B4C" w:rsidRDefault="00A91B4C" w:rsidP="00A91B4C">
      <w:pPr>
        <w:pStyle w:val="ListParagraph"/>
        <w:numPr>
          <w:ilvl w:val="0"/>
          <w:numId w:val="17"/>
        </w:numPr>
      </w:pPr>
      <w:r>
        <w:t>For majority of those fields, when a field with small size in current BWP is used to schedule in new BWP expecting large field size, applying the transformation rule of zero-padding may result in major limitations:</w:t>
      </w:r>
    </w:p>
    <w:p w14:paraId="28D778E8" w14:textId="77777777" w:rsidR="00A91B4C" w:rsidRDefault="00A91B4C" w:rsidP="00A91B4C">
      <w:pPr>
        <w:pStyle w:val="ListParagraph"/>
        <w:numPr>
          <w:ilvl w:val="1"/>
          <w:numId w:val="17"/>
        </w:numPr>
      </w:pPr>
      <w:r>
        <w:t>For example, limited rank, layers, TPMI, DMRS ports, limited CSI request, no VRB-to-PRB mapping, no frequency hopping, no non-orthogonal MU-MIMO, invalid MCS/NDI/RV, etc</w:t>
      </w:r>
    </w:p>
    <w:p w14:paraId="6D4633B9" w14:textId="77777777" w:rsidR="00A91B4C" w:rsidRDefault="00A91B4C" w:rsidP="00A91B4C">
      <w:pPr>
        <w:pStyle w:val="ListParagraph"/>
        <w:numPr>
          <w:ilvl w:val="2"/>
          <w:numId w:val="17"/>
        </w:numPr>
      </w:pPr>
      <w:r>
        <w:t>Many of these are borderline for being considered “non-transformable” fields</w:t>
      </w:r>
    </w:p>
    <w:p w14:paraId="393B3013" w14:textId="77777777" w:rsidR="00A91B4C" w:rsidRDefault="00A91B4C" w:rsidP="00A91B4C">
      <w:pPr>
        <w:pStyle w:val="ListParagraph"/>
        <w:numPr>
          <w:ilvl w:val="1"/>
          <w:numId w:val="17"/>
        </w:numPr>
      </w:pPr>
      <w:r>
        <w:t>For a few critical fields, the impact of the limitation may result in erroneous operation:</w:t>
      </w:r>
    </w:p>
    <w:p w14:paraId="374B5806" w14:textId="44DD2E4B" w:rsidR="00A91B4C" w:rsidRDefault="00A91B4C" w:rsidP="00274E57">
      <w:pPr>
        <w:pStyle w:val="ListParagraph"/>
        <w:numPr>
          <w:ilvl w:val="2"/>
          <w:numId w:val="17"/>
        </w:numPr>
      </w:pPr>
      <w:r>
        <w:t>Rate matching indicator</w:t>
      </w:r>
      <w:r w:rsidR="00F0545A">
        <w:t xml:space="preserve"> (DL), </w:t>
      </w:r>
      <w:r>
        <w:t>SRS resource indicator</w:t>
      </w:r>
      <w:r w:rsidR="00F0545A">
        <w:t xml:space="preserve"> (UL)</w:t>
      </w:r>
    </w:p>
    <w:p w14:paraId="607CA356" w14:textId="28A029D3" w:rsidR="00A91B4C" w:rsidRDefault="00A91B4C" w:rsidP="00A91B4C">
      <w:pPr>
        <w:pStyle w:val="ListParagraph"/>
        <w:numPr>
          <w:ilvl w:val="0"/>
          <w:numId w:val="17"/>
        </w:numPr>
      </w:pPr>
      <w:r>
        <w:t>It is expected that for typical BWP configuration, majority of those BWP-dependent DCI fields would actually have the same size across BWP, and cross-BWP scheduling should work fine.</w:t>
      </w:r>
    </w:p>
    <w:p w14:paraId="3774B395" w14:textId="65280F14" w:rsidR="00A91B4C" w:rsidRDefault="00A91B4C" w:rsidP="00A91B4C">
      <w:pPr>
        <w:rPr>
          <w:lang w:val="en-GB"/>
        </w:rPr>
      </w:pPr>
    </w:p>
    <w:p w14:paraId="3415A96F" w14:textId="77777777" w:rsidR="002146C7" w:rsidRPr="00A91B4C" w:rsidRDefault="002146C7" w:rsidP="00A91B4C">
      <w:pPr>
        <w:rPr>
          <w:lang w:val="en-GB"/>
        </w:rPr>
      </w:pPr>
    </w:p>
    <w:sectPr w:rsidR="002146C7" w:rsidRPr="00A91B4C" w:rsidSect="008331BB">
      <w:headerReference w:type="even" r:id="rId33"/>
      <w:footerReference w:type="even" r:id="rId34"/>
      <w:footerReference w:type="default" r:id="rId35"/>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86032" w14:textId="77777777" w:rsidR="00D17E93" w:rsidRDefault="00D17E93">
      <w:r>
        <w:separator/>
      </w:r>
    </w:p>
  </w:endnote>
  <w:endnote w:type="continuationSeparator" w:id="0">
    <w:p w14:paraId="27715F9D" w14:textId="77777777" w:rsidR="00D17E93" w:rsidRDefault="00D17E93">
      <w:r>
        <w:continuationSeparator/>
      </w:r>
    </w:p>
  </w:endnote>
  <w:endnote w:type="continuationNotice" w:id="1">
    <w:p w14:paraId="6608E55E" w14:textId="77777777" w:rsidR="00D17E93" w:rsidRDefault="00D17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17E93" w:rsidRDefault="00D17E9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17E93" w:rsidRDefault="00D17E9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745C61F" w:rsidR="00D17E93" w:rsidRDefault="00D17E9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D4160" w14:textId="77777777" w:rsidR="00D17E93" w:rsidRDefault="00D17E93">
      <w:r>
        <w:separator/>
      </w:r>
    </w:p>
  </w:footnote>
  <w:footnote w:type="continuationSeparator" w:id="0">
    <w:p w14:paraId="5159DF70" w14:textId="77777777" w:rsidR="00D17E93" w:rsidRDefault="00D17E93">
      <w:r>
        <w:continuationSeparator/>
      </w:r>
    </w:p>
  </w:footnote>
  <w:footnote w:type="continuationNotice" w:id="1">
    <w:p w14:paraId="75325D11" w14:textId="77777777" w:rsidR="00D17E93" w:rsidRDefault="00D17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17E93" w:rsidRDefault="00D17E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B56"/>
    <w:multiLevelType w:val="hybridMultilevel"/>
    <w:tmpl w:val="3CB45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3421EB"/>
    <w:multiLevelType w:val="hybridMultilevel"/>
    <w:tmpl w:val="B4826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53299"/>
    <w:multiLevelType w:val="hybridMultilevel"/>
    <w:tmpl w:val="CCFEC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C0CAA"/>
    <w:multiLevelType w:val="hybridMultilevel"/>
    <w:tmpl w:val="05FC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526"/>
    <w:multiLevelType w:val="hybridMultilevel"/>
    <w:tmpl w:val="FD2AB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95429"/>
    <w:multiLevelType w:val="hybridMultilevel"/>
    <w:tmpl w:val="DBF62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256B7"/>
    <w:multiLevelType w:val="hybridMultilevel"/>
    <w:tmpl w:val="4A98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5E81522">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AD27A7"/>
    <w:multiLevelType w:val="hybridMultilevel"/>
    <w:tmpl w:val="E4C26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01D10"/>
    <w:multiLevelType w:val="hybridMultilevel"/>
    <w:tmpl w:val="2AD45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B54CB"/>
    <w:multiLevelType w:val="hybridMultilevel"/>
    <w:tmpl w:val="8AEA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9CA5BB0"/>
    <w:multiLevelType w:val="hybridMultilevel"/>
    <w:tmpl w:val="1F2E8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082F59"/>
    <w:multiLevelType w:val="hybridMultilevel"/>
    <w:tmpl w:val="5762ABC6"/>
    <w:lvl w:ilvl="0" w:tplc="66EA7476">
      <w:start w:val="1"/>
      <w:numFmt w:val="bullet"/>
      <w:lvlText w:val="•"/>
      <w:lvlJc w:val="left"/>
      <w:pPr>
        <w:tabs>
          <w:tab w:val="num" w:pos="720"/>
        </w:tabs>
        <w:ind w:left="720" w:hanging="360"/>
      </w:pPr>
      <w:rPr>
        <w:rFonts w:ascii="Arial" w:hAnsi="Arial" w:hint="default"/>
      </w:rPr>
    </w:lvl>
    <w:lvl w:ilvl="1" w:tplc="6ED0B014">
      <w:start w:val="1"/>
      <w:numFmt w:val="bullet"/>
      <w:lvlText w:val="•"/>
      <w:lvlJc w:val="left"/>
      <w:pPr>
        <w:tabs>
          <w:tab w:val="num" w:pos="1440"/>
        </w:tabs>
        <w:ind w:left="1440" w:hanging="360"/>
      </w:pPr>
      <w:rPr>
        <w:rFonts w:ascii="Arial" w:hAnsi="Arial" w:hint="default"/>
      </w:rPr>
    </w:lvl>
    <w:lvl w:ilvl="2" w:tplc="929AA5DC">
      <w:start w:val="1"/>
      <w:numFmt w:val="bullet"/>
      <w:lvlText w:val="•"/>
      <w:lvlJc w:val="left"/>
      <w:pPr>
        <w:tabs>
          <w:tab w:val="num" w:pos="2160"/>
        </w:tabs>
        <w:ind w:left="2160" w:hanging="360"/>
      </w:pPr>
      <w:rPr>
        <w:rFonts w:ascii="Arial" w:hAnsi="Arial" w:hint="default"/>
      </w:rPr>
    </w:lvl>
    <w:lvl w:ilvl="3" w:tplc="9476FD32">
      <w:start w:val="1"/>
      <w:numFmt w:val="bullet"/>
      <w:lvlText w:val="•"/>
      <w:lvlJc w:val="left"/>
      <w:pPr>
        <w:tabs>
          <w:tab w:val="num" w:pos="2880"/>
        </w:tabs>
        <w:ind w:left="2880" w:hanging="360"/>
      </w:pPr>
      <w:rPr>
        <w:rFonts w:ascii="Arial" w:hAnsi="Arial" w:hint="default"/>
      </w:rPr>
    </w:lvl>
    <w:lvl w:ilvl="4" w:tplc="31700B04" w:tentative="1">
      <w:start w:val="1"/>
      <w:numFmt w:val="bullet"/>
      <w:lvlText w:val="•"/>
      <w:lvlJc w:val="left"/>
      <w:pPr>
        <w:tabs>
          <w:tab w:val="num" w:pos="3600"/>
        </w:tabs>
        <w:ind w:left="3600" w:hanging="360"/>
      </w:pPr>
      <w:rPr>
        <w:rFonts w:ascii="Arial" w:hAnsi="Arial" w:hint="default"/>
      </w:rPr>
    </w:lvl>
    <w:lvl w:ilvl="5" w:tplc="D560451A" w:tentative="1">
      <w:start w:val="1"/>
      <w:numFmt w:val="bullet"/>
      <w:lvlText w:val="•"/>
      <w:lvlJc w:val="left"/>
      <w:pPr>
        <w:tabs>
          <w:tab w:val="num" w:pos="4320"/>
        </w:tabs>
        <w:ind w:left="4320" w:hanging="360"/>
      </w:pPr>
      <w:rPr>
        <w:rFonts w:ascii="Arial" w:hAnsi="Arial" w:hint="default"/>
      </w:rPr>
    </w:lvl>
    <w:lvl w:ilvl="6" w:tplc="6662380A" w:tentative="1">
      <w:start w:val="1"/>
      <w:numFmt w:val="bullet"/>
      <w:lvlText w:val="•"/>
      <w:lvlJc w:val="left"/>
      <w:pPr>
        <w:tabs>
          <w:tab w:val="num" w:pos="5040"/>
        </w:tabs>
        <w:ind w:left="5040" w:hanging="360"/>
      </w:pPr>
      <w:rPr>
        <w:rFonts w:ascii="Arial" w:hAnsi="Arial" w:hint="default"/>
      </w:rPr>
    </w:lvl>
    <w:lvl w:ilvl="7" w:tplc="535454C2" w:tentative="1">
      <w:start w:val="1"/>
      <w:numFmt w:val="bullet"/>
      <w:lvlText w:val="•"/>
      <w:lvlJc w:val="left"/>
      <w:pPr>
        <w:tabs>
          <w:tab w:val="num" w:pos="5760"/>
        </w:tabs>
        <w:ind w:left="5760" w:hanging="360"/>
      </w:pPr>
      <w:rPr>
        <w:rFonts w:ascii="Arial" w:hAnsi="Arial" w:hint="default"/>
      </w:rPr>
    </w:lvl>
    <w:lvl w:ilvl="8" w:tplc="EA36A9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401F96"/>
    <w:multiLevelType w:val="hybridMultilevel"/>
    <w:tmpl w:val="0D42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4105F"/>
    <w:multiLevelType w:val="hybridMultilevel"/>
    <w:tmpl w:val="09DA5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75549C"/>
    <w:multiLevelType w:val="hybridMultilevel"/>
    <w:tmpl w:val="A68E43D6"/>
    <w:lvl w:ilvl="0" w:tplc="83D06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E32384F"/>
    <w:multiLevelType w:val="multilevel"/>
    <w:tmpl w:val="0108FE9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3"/>
  </w:num>
  <w:num w:numId="4">
    <w:abstractNumId w:val="0"/>
  </w:num>
  <w:num w:numId="5">
    <w:abstractNumId w:val="26"/>
  </w:num>
  <w:num w:numId="6">
    <w:abstractNumId w:val="12"/>
  </w:num>
  <w:num w:numId="7">
    <w:abstractNumId w:val="10"/>
  </w:num>
  <w:num w:numId="8">
    <w:abstractNumId w:val="21"/>
  </w:num>
  <w:num w:numId="9">
    <w:abstractNumId w:val="6"/>
  </w:num>
  <w:num w:numId="10">
    <w:abstractNumId w:val="5"/>
  </w:num>
  <w:num w:numId="11">
    <w:abstractNumId w:val="4"/>
  </w:num>
  <w:num w:numId="12">
    <w:abstractNumId w:val="23"/>
  </w:num>
  <w:num w:numId="13">
    <w:abstractNumId w:val="24"/>
  </w:num>
  <w:num w:numId="14">
    <w:abstractNumId w:val="22"/>
  </w:num>
  <w:num w:numId="15">
    <w:abstractNumId w:val="14"/>
  </w:num>
  <w:num w:numId="16">
    <w:abstractNumId w:val="11"/>
  </w:num>
  <w:num w:numId="17">
    <w:abstractNumId w:val="15"/>
  </w:num>
  <w:num w:numId="18">
    <w:abstractNumId w:val="20"/>
  </w:num>
  <w:num w:numId="19">
    <w:abstractNumId w:val="17"/>
  </w:num>
  <w:num w:numId="20">
    <w:abstractNumId w:val="27"/>
  </w:num>
  <w:num w:numId="21">
    <w:abstractNumId w:val="1"/>
  </w:num>
  <w:num w:numId="22">
    <w:abstractNumId w:val="2"/>
  </w:num>
  <w:num w:numId="23">
    <w:abstractNumId w:val="18"/>
  </w:num>
  <w:num w:numId="24">
    <w:abstractNumId w:val="16"/>
  </w:num>
  <w:num w:numId="25">
    <w:abstractNumId w:val="8"/>
  </w:num>
  <w:num w:numId="26">
    <w:abstractNumId w:val="7"/>
  </w:num>
  <w:num w:numId="27">
    <w:abstractNumId w:val="25"/>
  </w:num>
  <w:num w:numId="28">
    <w:abstractNumId w:val="28"/>
  </w:num>
  <w:num w:numId="2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08"/>
    <w:rsid w:val="00000ECA"/>
    <w:rsid w:val="00000F7F"/>
    <w:rsid w:val="00001375"/>
    <w:rsid w:val="000014E9"/>
    <w:rsid w:val="00001F79"/>
    <w:rsid w:val="00001FC3"/>
    <w:rsid w:val="000022AF"/>
    <w:rsid w:val="00002375"/>
    <w:rsid w:val="00002626"/>
    <w:rsid w:val="0000270A"/>
    <w:rsid w:val="00002A8E"/>
    <w:rsid w:val="00002E3E"/>
    <w:rsid w:val="00003131"/>
    <w:rsid w:val="00003227"/>
    <w:rsid w:val="000037FB"/>
    <w:rsid w:val="00003B0E"/>
    <w:rsid w:val="00003EF4"/>
    <w:rsid w:val="0000403F"/>
    <w:rsid w:val="00004885"/>
    <w:rsid w:val="000049E1"/>
    <w:rsid w:val="00004D8C"/>
    <w:rsid w:val="00004DBC"/>
    <w:rsid w:val="00004DCB"/>
    <w:rsid w:val="00004DFC"/>
    <w:rsid w:val="000051F0"/>
    <w:rsid w:val="0000545A"/>
    <w:rsid w:val="0000553B"/>
    <w:rsid w:val="000055B3"/>
    <w:rsid w:val="00005D97"/>
    <w:rsid w:val="000063BC"/>
    <w:rsid w:val="00006780"/>
    <w:rsid w:val="00006C7A"/>
    <w:rsid w:val="00006D0A"/>
    <w:rsid w:val="000070F5"/>
    <w:rsid w:val="000072BD"/>
    <w:rsid w:val="00007495"/>
    <w:rsid w:val="0000792C"/>
    <w:rsid w:val="00007B4B"/>
    <w:rsid w:val="00007D32"/>
    <w:rsid w:val="000100D9"/>
    <w:rsid w:val="000101EF"/>
    <w:rsid w:val="00010DBF"/>
    <w:rsid w:val="00010E97"/>
    <w:rsid w:val="00010F20"/>
    <w:rsid w:val="00010FD1"/>
    <w:rsid w:val="0001117C"/>
    <w:rsid w:val="000124D1"/>
    <w:rsid w:val="00012973"/>
    <w:rsid w:val="00012B38"/>
    <w:rsid w:val="00012D57"/>
    <w:rsid w:val="0001321B"/>
    <w:rsid w:val="0001369A"/>
    <w:rsid w:val="000137BA"/>
    <w:rsid w:val="00013B63"/>
    <w:rsid w:val="00013F64"/>
    <w:rsid w:val="000141F0"/>
    <w:rsid w:val="00014E0E"/>
    <w:rsid w:val="00015814"/>
    <w:rsid w:val="00015BCB"/>
    <w:rsid w:val="00015CED"/>
    <w:rsid w:val="000162B2"/>
    <w:rsid w:val="0001645D"/>
    <w:rsid w:val="000164BB"/>
    <w:rsid w:val="000166FB"/>
    <w:rsid w:val="000167A6"/>
    <w:rsid w:val="00016DCE"/>
    <w:rsid w:val="00017309"/>
    <w:rsid w:val="00017798"/>
    <w:rsid w:val="00017EE3"/>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A58"/>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CB"/>
    <w:rsid w:val="000300FE"/>
    <w:rsid w:val="00030619"/>
    <w:rsid w:val="0003070D"/>
    <w:rsid w:val="000307C6"/>
    <w:rsid w:val="00030F74"/>
    <w:rsid w:val="00030F85"/>
    <w:rsid w:val="000312B4"/>
    <w:rsid w:val="0003134F"/>
    <w:rsid w:val="000317B2"/>
    <w:rsid w:val="00031DBF"/>
    <w:rsid w:val="00031EDD"/>
    <w:rsid w:val="000321DC"/>
    <w:rsid w:val="000325EF"/>
    <w:rsid w:val="0003268C"/>
    <w:rsid w:val="0003280C"/>
    <w:rsid w:val="00032A0C"/>
    <w:rsid w:val="00033EB8"/>
    <w:rsid w:val="00034882"/>
    <w:rsid w:val="000349B7"/>
    <w:rsid w:val="0003540B"/>
    <w:rsid w:val="00035574"/>
    <w:rsid w:val="00036199"/>
    <w:rsid w:val="000365A2"/>
    <w:rsid w:val="00036814"/>
    <w:rsid w:val="0003698E"/>
    <w:rsid w:val="00036C45"/>
    <w:rsid w:val="00036FA7"/>
    <w:rsid w:val="000370B4"/>
    <w:rsid w:val="0003723F"/>
    <w:rsid w:val="000372BF"/>
    <w:rsid w:val="000377E3"/>
    <w:rsid w:val="000378AE"/>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BFC"/>
    <w:rsid w:val="000430CF"/>
    <w:rsid w:val="00043266"/>
    <w:rsid w:val="00043407"/>
    <w:rsid w:val="00043703"/>
    <w:rsid w:val="00044225"/>
    <w:rsid w:val="000442BC"/>
    <w:rsid w:val="00044576"/>
    <w:rsid w:val="00044872"/>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88A"/>
    <w:rsid w:val="00053A47"/>
    <w:rsid w:val="00053ABB"/>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118"/>
    <w:rsid w:val="00060586"/>
    <w:rsid w:val="0006090A"/>
    <w:rsid w:val="00060F92"/>
    <w:rsid w:val="00060FDB"/>
    <w:rsid w:val="000612C5"/>
    <w:rsid w:val="000613C1"/>
    <w:rsid w:val="000616E1"/>
    <w:rsid w:val="0006173B"/>
    <w:rsid w:val="00061BDC"/>
    <w:rsid w:val="00061D2A"/>
    <w:rsid w:val="000621A9"/>
    <w:rsid w:val="0006263A"/>
    <w:rsid w:val="00062A40"/>
    <w:rsid w:val="00062D9A"/>
    <w:rsid w:val="000630FB"/>
    <w:rsid w:val="000631CE"/>
    <w:rsid w:val="00063485"/>
    <w:rsid w:val="00063D36"/>
    <w:rsid w:val="00063F57"/>
    <w:rsid w:val="0006480B"/>
    <w:rsid w:val="0006482A"/>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603"/>
    <w:rsid w:val="00072A48"/>
    <w:rsid w:val="00072C66"/>
    <w:rsid w:val="00072E75"/>
    <w:rsid w:val="00072EFA"/>
    <w:rsid w:val="00072FF7"/>
    <w:rsid w:val="0007337F"/>
    <w:rsid w:val="0007368E"/>
    <w:rsid w:val="00073785"/>
    <w:rsid w:val="00073974"/>
    <w:rsid w:val="00073F5E"/>
    <w:rsid w:val="000741B3"/>
    <w:rsid w:val="00074375"/>
    <w:rsid w:val="000743A0"/>
    <w:rsid w:val="00074A9E"/>
    <w:rsid w:val="00074BF5"/>
    <w:rsid w:val="0007528C"/>
    <w:rsid w:val="000752CD"/>
    <w:rsid w:val="00075680"/>
    <w:rsid w:val="000756A2"/>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08A"/>
    <w:rsid w:val="00085239"/>
    <w:rsid w:val="000855A3"/>
    <w:rsid w:val="00085A9C"/>
    <w:rsid w:val="00085F08"/>
    <w:rsid w:val="00085F15"/>
    <w:rsid w:val="00086210"/>
    <w:rsid w:val="000862BA"/>
    <w:rsid w:val="000862F6"/>
    <w:rsid w:val="00086B50"/>
    <w:rsid w:val="00086C4D"/>
    <w:rsid w:val="00087462"/>
    <w:rsid w:val="0008760B"/>
    <w:rsid w:val="0008782D"/>
    <w:rsid w:val="00087E29"/>
    <w:rsid w:val="0009037D"/>
    <w:rsid w:val="00090394"/>
    <w:rsid w:val="00090573"/>
    <w:rsid w:val="00090779"/>
    <w:rsid w:val="00091A5A"/>
    <w:rsid w:val="00091ADD"/>
    <w:rsid w:val="00091BF8"/>
    <w:rsid w:val="00091C9C"/>
    <w:rsid w:val="000921E3"/>
    <w:rsid w:val="00092A3D"/>
    <w:rsid w:val="000931C3"/>
    <w:rsid w:val="00093566"/>
    <w:rsid w:val="00093F75"/>
    <w:rsid w:val="0009437A"/>
    <w:rsid w:val="000947B7"/>
    <w:rsid w:val="00094E5F"/>
    <w:rsid w:val="0009512D"/>
    <w:rsid w:val="00095468"/>
    <w:rsid w:val="000954C6"/>
    <w:rsid w:val="00095671"/>
    <w:rsid w:val="000956BC"/>
    <w:rsid w:val="000957FF"/>
    <w:rsid w:val="00095920"/>
    <w:rsid w:val="00095F0A"/>
    <w:rsid w:val="00095F53"/>
    <w:rsid w:val="0009653B"/>
    <w:rsid w:val="000968D8"/>
    <w:rsid w:val="00096A6A"/>
    <w:rsid w:val="0009709B"/>
    <w:rsid w:val="000970D0"/>
    <w:rsid w:val="0009720E"/>
    <w:rsid w:val="00097297"/>
    <w:rsid w:val="000979F0"/>
    <w:rsid w:val="00097AE8"/>
    <w:rsid w:val="000A02DC"/>
    <w:rsid w:val="000A09A2"/>
    <w:rsid w:val="000A0CA1"/>
    <w:rsid w:val="000A0E99"/>
    <w:rsid w:val="000A153E"/>
    <w:rsid w:val="000A1AD3"/>
    <w:rsid w:val="000A1D49"/>
    <w:rsid w:val="000A23E5"/>
    <w:rsid w:val="000A2438"/>
    <w:rsid w:val="000A26E4"/>
    <w:rsid w:val="000A2D70"/>
    <w:rsid w:val="000A31F7"/>
    <w:rsid w:val="000A3ACB"/>
    <w:rsid w:val="000A3BF6"/>
    <w:rsid w:val="000A3C82"/>
    <w:rsid w:val="000A40BA"/>
    <w:rsid w:val="000A49DE"/>
    <w:rsid w:val="000A4B74"/>
    <w:rsid w:val="000A4FEA"/>
    <w:rsid w:val="000A52F5"/>
    <w:rsid w:val="000A54DF"/>
    <w:rsid w:val="000A61CB"/>
    <w:rsid w:val="000A6252"/>
    <w:rsid w:val="000A64D8"/>
    <w:rsid w:val="000A6723"/>
    <w:rsid w:val="000A6783"/>
    <w:rsid w:val="000A6788"/>
    <w:rsid w:val="000A68A9"/>
    <w:rsid w:val="000A6AC6"/>
    <w:rsid w:val="000A6CFE"/>
    <w:rsid w:val="000A6F12"/>
    <w:rsid w:val="000A7B18"/>
    <w:rsid w:val="000A7C88"/>
    <w:rsid w:val="000B02C2"/>
    <w:rsid w:val="000B0546"/>
    <w:rsid w:val="000B081C"/>
    <w:rsid w:val="000B09AC"/>
    <w:rsid w:val="000B0E8D"/>
    <w:rsid w:val="000B10AB"/>
    <w:rsid w:val="000B10E2"/>
    <w:rsid w:val="000B130E"/>
    <w:rsid w:val="000B18FB"/>
    <w:rsid w:val="000B19F8"/>
    <w:rsid w:val="000B1CD3"/>
    <w:rsid w:val="000B256B"/>
    <w:rsid w:val="000B32D4"/>
    <w:rsid w:val="000B3838"/>
    <w:rsid w:val="000B38DA"/>
    <w:rsid w:val="000B3F37"/>
    <w:rsid w:val="000B4788"/>
    <w:rsid w:val="000B49D7"/>
    <w:rsid w:val="000B546F"/>
    <w:rsid w:val="000B55FD"/>
    <w:rsid w:val="000B5E13"/>
    <w:rsid w:val="000B6030"/>
    <w:rsid w:val="000B63BC"/>
    <w:rsid w:val="000B6536"/>
    <w:rsid w:val="000B65BE"/>
    <w:rsid w:val="000B6BDF"/>
    <w:rsid w:val="000B71B6"/>
    <w:rsid w:val="000B71CB"/>
    <w:rsid w:val="000B7B2B"/>
    <w:rsid w:val="000B7D5E"/>
    <w:rsid w:val="000C067B"/>
    <w:rsid w:val="000C133A"/>
    <w:rsid w:val="000C1545"/>
    <w:rsid w:val="000C1DBD"/>
    <w:rsid w:val="000C2052"/>
    <w:rsid w:val="000C22A8"/>
    <w:rsid w:val="000C240A"/>
    <w:rsid w:val="000C2DE1"/>
    <w:rsid w:val="000C2E7E"/>
    <w:rsid w:val="000C3357"/>
    <w:rsid w:val="000C393F"/>
    <w:rsid w:val="000C3FE9"/>
    <w:rsid w:val="000C4065"/>
    <w:rsid w:val="000C4137"/>
    <w:rsid w:val="000C4493"/>
    <w:rsid w:val="000C4538"/>
    <w:rsid w:val="000C46D8"/>
    <w:rsid w:val="000C4C76"/>
    <w:rsid w:val="000C4F73"/>
    <w:rsid w:val="000C5759"/>
    <w:rsid w:val="000C5DD1"/>
    <w:rsid w:val="000C5E7D"/>
    <w:rsid w:val="000C673C"/>
    <w:rsid w:val="000C69F8"/>
    <w:rsid w:val="000C6A01"/>
    <w:rsid w:val="000C6C3F"/>
    <w:rsid w:val="000C71D9"/>
    <w:rsid w:val="000C737F"/>
    <w:rsid w:val="000D0153"/>
    <w:rsid w:val="000D037E"/>
    <w:rsid w:val="000D08CF"/>
    <w:rsid w:val="000D0A0F"/>
    <w:rsid w:val="000D0AB8"/>
    <w:rsid w:val="000D0B71"/>
    <w:rsid w:val="000D0BCC"/>
    <w:rsid w:val="000D0CC6"/>
    <w:rsid w:val="000D0F9A"/>
    <w:rsid w:val="000D10A8"/>
    <w:rsid w:val="000D148D"/>
    <w:rsid w:val="000D14EB"/>
    <w:rsid w:val="000D1610"/>
    <w:rsid w:val="000D1D3F"/>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BC0"/>
    <w:rsid w:val="000D5E4D"/>
    <w:rsid w:val="000D6589"/>
    <w:rsid w:val="000D6E27"/>
    <w:rsid w:val="000D6E96"/>
    <w:rsid w:val="000D7268"/>
    <w:rsid w:val="000D7783"/>
    <w:rsid w:val="000E011D"/>
    <w:rsid w:val="000E03CF"/>
    <w:rsid w:val="000E0D89"/>
    <w:rsid w:val="000E0E37"/>
    <w:rsid w:val="000E1003"/>
    <w:rsid w:val="000E14B9"/>
    <w:rsid w:val="000E182B"/>
    <w:rsid w:val="000E1E8E"/>
    <w:rsid w:val="000E22A7"/>
    <w:rsid w:val="000E2612"/>
    <w:rsid w:val="000E2787"/>
    <w:rsid w:val="000E279B"/>
    <w:rsid w:val="000E2D36"/>
    <w:rsid w:val="000E3075"/>
    <w:rsid w:val="000E331F"/>
    <w:rsid w:val="000E3358"/>
    <w:rsid w:val="000E363B"/>
    <w:rsid w:val="000E38ED"/>
    <w:rsid w:val="000E3F84"/>
    <w:rsid w:val="000E40C3"/>
    <w:rsid w:val="000E41CA"/>
    <w:rsid w:val="000E4C9B"/>
    <w:rsid w:val="000E4D01"/>
    <w:rsid w:val="000E502E"/>
    <w:rsid w:val="000E5830"/>
    <w:rsid w:val="000E5C46"/>
    <w:rsid w:val="000E5C4E"/>
    <w:rsid w:val="000E5CA5"/>
    <w:rsid w:val="000E5E3A"/>
    <w:rsid w:val="000E6576"/>
    <w:rsid w:val="000E65A7"/>
    <w:rsid w:val="000E6635"/>
    <w:rsid w:val="000E6BAF"/>
    <w:rsid w:val="000E6EED"/>
    <w:rsid w:val="000E6F62"/>
    <w:rsid w:val="000E72EA"/>
    <w:rsid w:val="000E7F51"/>
    <w:rsid w:val="000F00D8"/>
    <w:rsid w:val="000F095B"/>
    <w:rsid w:val="000F13C4"/>
    <w:rsid w:val="000F13D7"/>
    <w:rsid w:val="000F17E4"/>
    <w:rsid w:val="000F1878"/>
    <w:rsid w:val="000F1A06"/>
    <w:rsid w:val="000F1CF3"/>
    <w:rsid w:val="000F1F98"/>
    <w:rsid w:val="000F20CD"/>
    <w:rsid w:val="000F2414"/>
    <w:rsid w:val="000F2965"/>
    <w:rsid w:val="000F34C7"/>
    <w:rsid w:val="000F3B40"/>
    <w:rsid w:val="000F3F2F"/>
    <w:rsid w:val="000F42EA"/>
    <w:rsid w:val="000F4A99"/>
    <w:rsid w:val="000F4C0A"/>
    <w:rsid w:val="000F4CAF"/>
    <w:rsid w:val="000F4D2F"/>
    <w:rsid w:val="000F4F44"/>
    <w:rsid w:val="000F53CB"/>
    <w:rsid w:val="000F6799"/>
    <w:rsid w:val="000F6881"/>
    <w:rsid w:val="000F6C32"/>
    <w:rsid w:val="000F6CB0"/>
    <w:rsid w:val="000F6D86"/>
    <w:rsid w:val="000F7CAD"/>
    <w:rsid w:val="00100097"/>
    <w:rsid w:val="001000E9"/>
    <w:rsid w:val="00100161"/>
    <w:rsid w:val="00100169"/>
    <w:rsid w:val="00100638"/>
    <w:rsid w:val="0010067A"/>
    <w:rsid w:val="001007A8"/>
    <w:rsid w:val="001009BB"/>
    <w:rsid w:val="00100E73"/>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ECB"/>
    <w:rsid w:val="00104058"/>
    <w:rsid w:val="0010405D"/>
    <w:rsid w:val="00104228"/>
    <w:rsid w:val="00104761"/>
    <w:rsid w:val="00104979"/>
    <w:rsid w:val="00104A80"/>
    <w:rsid w:val="001050B7"/>
    <w:rsid w:val="001050F9"/>
    <w:rsid w:val="0010521E"/>
    <w:rsid w:val="0010568A"/>
    <w:rsid w:val="001056C5"/>
    <w:rsid w:val="00105820"/>
    <w:rsid w:val="00105CEE"/>
    <w:rsid w:val="00105DA1"/>
    <w:rsid w:val="00105EFB"/>
    <w:rsid w:val="0010660E"/>
    <w:rsid w:val="00106A95"/>
    <w:rsid w:val="00106CC3"/>
    <w:rsid w:val="00106E61"/>
    <w:rsid w:val="00106E7E"/>
    <w:rsid w:val="00106FF1"/>
    <w:rsid w:val="00107423"/>
    <w:rsid w:val="0010795D"/>
    <w:rsid w:val="0011034F"/>
    <w:rsid w:val="0011036F"/>
    <w:rsid w:val="00110570"/>
    <w:rsid w:val="00110851"/>
    <w:rsid w:val="0011092B"/>
    <w:rsid w:val="001115C0"/>
    <w:rsid w:val="001115F4"/>
    <w:rsid w:val="001116D2"/>
    <w:rsid w:val="0011190B"/>
    <w:rsid w:val="00111AD9"/>
    <w:rsid w:val="0011211D"/>
    <w:rsid w:val="0011230B"/>
    <w:rsid w:val="001126ED"/>
    <w:rsid w:val="00112975"/>
    <w:rsid w:val="00112B8F"/>
    <w:rsid w:val="00112F06"/>
    <w:rsid w:val="001134DA"/>
    <w:rsid w:val="0011372B"/>
    <w:rsid w:val="00113D8F"/>
    <w:rsid w:val="001140FA"/>
    <w:rsid w:val="001141CF"/>
    <w:rsid w:val="00114353"/>
    <w:rsid w:val="00114379"/>
    <w:rsid w:val="001146A3"/>
    <w:rsid w:val="001146C6"/>
    <w:rsid w:val="001147B8"/>
    <w:rsid w:val="00114949"/>
    <w:rsid w:val="00114A78"/>
    <w:rsid w:val="00114E61"/>
    <w:rsid w:val="00114EA7"/>
    <w:rsid w:val="00114FB0"/>
    <w:rsid w:val="0011536C"/>
    <w:rsid w:val="00115617"/>
    <w:rsid w:val="00115716"/>
    <w:rsid w:val="0011584C"/>
    <w:rsid w:val="001158D5"/>
    <w:rsid w:val="00115D44"/>
    <w:rsid w:val="0011602A"/>
    <w:rsid w:val="001161A0"/>
    <w:rsid w:val="00116339"/>
    <w:rsid w:val="00116A2D"/>
    <w:rsid w:val="001175EF"/>
    <w:rsid w:val="00117677"/>
    <w:rsid w:val="00117957"/>
    <w:rsid w:val="00117A90"/>
    <w:rsid w:val="00117C78"/>
    <w:rsid w:val="001201EA"/>
    <w:rsid w:val="001203DB"/>
    <w:rsid w:val="0012079F"/>
    <w:rsid w:val="001207F3"/>
    <w:rsid w:val="00120C13"/>
    <w:rsid w:val="00121769"/>
    <w:rsid w:val="00121E1A"/>
    <w:rsid w:val="001224F5"/>
    <w:rsid w:val="00122727"/>
    <w:rsid w:val="00122842"/>
    <w:rsid w:val="001232D2"/>
    <w:rsid w:val="0012345C"/>
    <w:rsid w:val="00123486"/>
    <w:rsid w:val="001238B8"/>
    <w:rsid w:val="00123975"/>
    <w:rsid w:val="00123DED"/>
    <w:rsid w:val="00124349"/>
    <w:rsid w:val="001244C2"/>
    <w:rsid w:val="0012467D"/>
    <w:rsid w:val="001246EC"/>
    <w:rsid w:val="0012498C"/>
    <w:rsid w:val="001249D7"/>
    <w:rsid w:val="001249FC"/>
    <w:rsid w:val="00124E10"/>
    <w:rsid w:val="00124FEA"/>
    <w:rsid w:val="00125078"/>
    <w:rsid w:val="0012523E"/>
    <w:rsid w:val="001252FE"/>
    <w:rsid w:val="001255A6"/>
    <w:rsid w:val="00125D34"/>
    <w:rsid w:val="0012636D"/>
    <w:rsid w:val="0012636F"/>
    <w:rsid w:val="001268D1"/>
    <w:rsid w:val="001274AC"/>
    <w:rsid w:val="001275E6"/>
    <w:rsid w:val="00127DE2"/>
    <w:rsid w:val="00127F28"/>
    <w:rsid w:val="0013016D"/>
    <w:rsid w:val="00130714"/>
    <w:rsid w:val="00130953"/>
    <w:rsid w:val="00130BBD"/>
    <w:rsid w:val="00131591"/>
    <w:rsid w:val="00131683"/>
    <w:rsid w:val="0013177A"/>
    <w:rsid w:val="00131A50"/>
    <w:rsid w:val="00131AC6"/>
    <w:rsid w:val="001321CE"/>
    <w:rsid w:val="001322B0"/>
    <w:rsid w:val="00132671"/>
    <w:rsid w:val="00132767"/>
    <w:rsid w:val="00132917"/>
    <w:rsid w:val="00132B5A"/>
    <w:rsid w:val="00132E89"/>
    <w:rsid w:val="0013327F"/>
    <w:rsid w:val="0013334C"/>
    <w:rsid w:val="00133EBD"/>
    <w:rsid w:val="00134953"/>
    <w:rsid w:val="00135015"/>
    <w:rsid w:val="00135095"/>
    <w:rsid w:val="00135517"/>
    <w:rsid w:val="00135737"/>
    <w:rsid w:val="00135829"/>
    <w:rsid w:val="00135884"/>
    <w:rsid w:val="001358A7"/>
    <w:rsid w:val="001358F4"/>
    <w:rsid w:val="0013612A"/>
    <w:rsid w:val="00136998"/>
    <w:rsid w:val="00136AAD"/>
    <w:rsid w:val="00136EED"/>
    <w:rsid w:val="00137109"/>
    <w:rsid w:val="00137280"/>
    <w:rsid w:val="00137288"/>
    <w:rsid w:val="00137480"/>
    <w:rsid w:val="001375B9"/>
    <w:rsid w:val="001376F7"/>
    <w:rsid w:val="00137EA0"/>
    <w:rsid w:val="00137ECF"/>
    <w:rsid w:val="00140608"/>
    <w:rsid w:val="0014073C"/>
    <w:rsid w:val="00140762"/>
    <w:rsid w:val="00140825"/>
    <w:rsid w:val="0014086C"/>
    <w:rsid w:val="00140E5E"/>
    <w:rsid w:val="0014104A"/>
    <w:rsid w:val="001410AA"/>
    <w:rsid w:val="001410F1"/>
    <w:rsid w:val="001415E2"/>
    <w:rsid w:val="001418FE"/>
    <w:rsid w:val="00141B0A"/>
    <w:rsid w:val="00141E46"/>
    <w:rsid w:val="00141ED1"/>
    <w:rsid w:val="00141F72"/>
    <w:rsid w:val="0014206B"/>
    <w:rsid w:val="00142093"/>
    <w:rsid w:val="001426D3"/>
    <w:rsid w:val="00142E42"/>
    <w:rsid w:val="00142F73"/>
    <w:rsid w:val="00142FBC"/>
    <w:rsid w:val="00143153"/>
    <w:rsid w:val="0014371C"/>
    <w:rsid w:val="001437FC"/>
    <w:rsid w:val="00143EFE"/>
    <w:rsid w:val="00143FFE"/>
    <w:rsid w:val="00144134"/>
    <w:rsid w:val="0014471E"/>
    <w:rsid w:val="0014491B"/>
    <w:rsid w:val="00144B3F"/>
    <w:rsid w:val="00144D67"/>
    <w:rsid w:val="00144E04"/>
    <w:rsid w:val="001454C4"/>
    <w:rsid w:val="001462D7"/>
    <w:rsid w:val="00146577"/>
    <w:rsid w:val="00146773"/>
    <w:rsid w:val="00146813"/>
    <w:rsid w:val="0014703E"/>
    <w:rsid w:val="00147544"/>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CD4"/>
    <w:rsid w:val="00154DE7"/>
    <w:rsid w:val="00154F0D"/>
    <w:rsid w:val="00155178"/>
    <w:rsid w:val="0015554F"/>
    <w:rsid w:val="00155D53"/>
    <w:rsid w:val="0015622B"/>
    <w:rsid w:val="00156260"/>
    <w:rsid w:val="00156284"/>
    <w:rsid w:val="0015638B"/>
    <w:rsid w:val="00156502"/>
    <w:rsid w:val="00156615"/>
    <w:rsid w:val="00156D13"/>
    <w:rsid w:val="001575A7"/>
    <w:rsid w:val="00157C2C"/>
    <w:rsid w:val="0016019C"/>
    <w:rsid w:val="001601C7"/>
    <w:rsid w:val="001602C2"/>
    <w:rsid w:val="001603B9"/>
    <w:rsid w:val="00160452"/>
    <w:rsid w:val="00160674"/>
    <w:rsid w:val="00160786"/>
    <w:rsid w:val="00160B3D"/>
    <w:rsid w:val="00162262"/>
    <w:rsid w:val="001623A3"/>
    <w:rsid w:val="00162BD5"/>
    <w:rsid w:val="00162CF1"/>
    <w:rsid w:val="00162F82"/>
    <w:rsid w:val="001630E4"/>
    <w:rsid w:val="001632B7"/>
    <w:rsid w:val="0016368F"/>
    <w:rsid w:val="001639BC"/>
    <w:rsid w:val="00163AFC"/>
    <w:rsid w:val="00163C9A"/>
    <w:rsid w:val="00164646"/>
    <w:rsid w:val="001647FA"/>
    <w:rsid w:val="00164A74"/>
    <w:rsid w:val="00165137"/>
    <w:rsid w:val="001652DD"/>
    <w:rsid w:val="00165A42"/>
    <w:rsid w:val="00165D2D"/>
    <w:rsid w:val="00165D9A"/>
    <w:rsid w:val="001661E2"/>
    <w:rsid w:val="0016634F"/>
    <w:rsid w:val="001665D2"/>
    <w:rsid w:val="00166809"/>
    <w:rsid w:val="00166879"/>
    <w:rsid w:val="001669F9"/>
    <w:rsid w:val="00166D9E"/>
    <w:rsid w:val="00166EE2"/>
    <w:rsid w:val="0016700E"/>
    <w:rsid w:val="00167125"/>
    <w:rsid w:val="0016733C"/>
    <w:rsid w:val="0016764C"/>
    <w:rsid w:val="00167ACD"/>
    <w:rsid w:val="00167D18"/>
    <w:rsid w:val="00167FC3"/>
    <w:rsid w:val="00170397"/>
    <w:rsid w:val="00170482"/>
    <w:rsid w:val="001706E4"/>
    <w:rsid w:val="001708D0"/>
    <w:rsid w:val="00170B23"/>
    <w:rsid w:val="00170E05"/>
    <w:rsid w:val="00170EA1"/>
    <w:rsid w:val="00171661"/>
    <w:rsid w:val="00171876"/>
    <w:rsid w:val="00171B5E"/>
    <w:rsid w:val="00171BC2"/>
    <w:rsid w:val="00171D7E"/>
    <w:rsid w:val="00171F14"/>
    <w:rsid w:val="00172261"/>
    <w:rsid w:val="001729E1"/>
    <w:rsid w:val="00172B61"/>
    <w:rsid w:val="00172C20"/>
    <w:rsid w:val="00173711"/>
    <w:rsid w:val="001738A5"/>
    <w:rsid w:val="00173A00"/>
    <w:rsid w:val="00173D38"/>
    <w:rsid w:val="00173ECF"/>
    <w:rsid w:val="001742A6"/>
    <w:rsid w:val="00174913"/>
    <w:rsid w:val="00174DDB"/>
    <w:rsid w:val="00174FFB"/>
    <w:rsid w:val="00175009"/>
    <w:rsid w:val="001752EC"/>
    <w:rsid w:val="0017557B"/>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AB0"/>
    <w:rsid w:val="00181ABE"/>
    <w:rsid w:val="00181B3A"/>
    <w:rsid w:val="00181E7C"/>
    <w:rsid w:val="001820B2"/>
    <w:rsid w:val="001821E9"/>
    <w:rsid w:val="0018246F"/>
    <w:rsid w:val="00182718"/>
    <w:rsid w:val="00182D06"/>
    <w:rsid w:val="00182FBF"/>
    <w:rsid w:val="001836DF"/>
    <w:rsid w:val="00183CB7"/>
    <w:rsid w:val="00183CC6"/>
    <w:rsid w:val="00183F11"/>
    <w:rsid w:val="001840F5"/>
    <w:rsid w:val="00184455"/>
    <w:rsid w:val="00184A29"/>
    <w:rsid w:val="00184DAB"/>
    <w:rsid w:val="00184E88"/>
    <w:rsid w:val="00184F51"/>
    <w:rsid w:val="00185257"/>
    <w:rsid w:val="001859ED"/>
    <w:rsid w:val="00185E59"/>
    <w:rsid w:val="00185F10"/>
    <w:rsid w:val="00185FDA"/>
    <w:rsid w:val="00186395"/>
    <w:rsid w:val="001863BA"/>
    <w:rsid w:val="001863E3"/>
    <w:rsid w:val="0018695F"/>
    <w:rsid w:val="00186B4D"/>
    <w:rsid w:val="00186B55"/>
    <w:rsid w:val="00187540"/>
    <w:rsid w:val="0018767B"/>
    <w:rsid w:val="001902B8"/>
    <w:rsid w:val="0019059B"/>
    <w:rsid w:val="001908C5"/>
    <w:rsid w:val="00190927"/>
    <w:rsid w:val="001909DC"/>
    <w:rsid w:val="00190BD5"/>
    <w:rsid w:val="00190C5A"/>
    <w:rsid w:val="00190D28"/>
    <w:rsid w:val="00190D8F"/>
    <w:rsid w:val="00191727"/>
    <w:rsid w:val="00191EBF"/>
    <w:rsid w:val="001921F7"/>
    <w:rsid w:val="00192338"/>
    <w:rsid w:val="00192589"/>
    <w:rsid w:val="001925E5"/>
    <w:rsid w:val="001929F7"/>
    <w:rsid w:val="00193924"/>
    <w:rsid w:val="00193987"/>
    <w:rsid w:val="00193EEE"/>
    <w:rsid w:val="00194955"/>
    <w:rsid w:val="00195657"/>
    <w:rsid w:val="0019573B"/>
    <w:rsid w:val="0019592C"/>
    <w:rsid w:val="00196085"/>
    <w:rsid w:val="00196935"/>
    <w:rsid w:val="00196B90"/>
    <w:rsid w:val="00196DE8"/>
    <w:rsid w:val="00196FF4"/>
    <w:rsid w:val="0019734F"/>
    <w:rsid w:val="001A0303"/>
    <w:rsid w:val="001A0313"/>
    <w:rsid w:val="001A0676"/>
    <w:rsid w:val="001A067A"/>
    <w:rsid w:val="001A06C8"/>
    <w:rsid w:val="001A12AD"/>
    <w:rsid w:val="001A1337"/>
    <w:rsid w:val="001A1750"/>
    <w:rsid w:val="001A1798"/>
    <w:rsid w:val="001A2828"/>
    <w:rsid w:val="001A2939"/>
    <w:rsid w:val="001A2F35"/>
    <w:rsid w:val="001A2FD5"/>
    <w:rsid w:val="001A3037"/>
    <w:rsid w:val="001A30FB"/>
    <w:rsid w:val="001A36CF"/>
    <w:rsid w:val="001A3974"/>
    <w:rsid w:val="001A3BBA"/>
    <w:rsid w:val="001A3F0F"/>
    <w:rsid w:val="001A3F5E"/>
    <w:rsid w:val="001A3FA5"/>
    <w:rsid w:val="001A3FC2"/>
    <w:rsid w:val="001A4EDF"/>
    <w:rsid w:val="001A5308"/>
    <w:rsid w:val="001A6164"/>
    <w:rsid w:val="001A61A0"/>
    <w:rsid w:val="001A6AFE"/>
    <w:rsid w:val="001A6D44"/>
    <w:rsid w:val="001A6E27"/>
    <w:rsid w:val="001A706D"/>
    <w:rsid w:val="001A71EB"/>
    <w:rsid w:val="001A7233"/>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3B"/>
    <w:rsid w:val="001B54E9"/>
    <w:rsid w:val="001B55DE"/>
    <w:rsid w:val="001B5941"/>
    <w:rsid w:val="001B5A34"/>
    <w:rsid w:val="001B5D54"/>
    <w:rsid w:val="001B5DBA"/>
    <w:rsid w:val="001B70CF"/>
    <w:rsid w:val="001B748B"/>
    <w:rsid w:val="001B768B"/>
    <w:rsid w:val="001B7905"/>
    <w:rsid w:val="001C0085"/>
    <w:rsid w:val="001C03D5"/>
    <w:rsid w:val="001C063F"/>
    <w:rsid w:val="001C0874"/>
    <w:rsid w:val="001C0883"/>
    <w:rsid w:val="001C0FF5"/>
    <w:rsid w:val="001C12A0"/>
    <w:rsid w:val="001C16A9"/>
    <w:rsid w:val="001C18B5"/>
    <w:rsid w:val="001C1919"/>
    <w:rsid w:val="001C19EB"/>
    <w:rsid w:val="001C1E53"/>
    <w:rsid w:val="001C211D"/>
    <w:rsid w:val="001C22B1"/>
    <w:rsid w:val="001C2A8B"/>
    <w:rsid w:val="001C2E9F"/>
    <w:rsid w:val="001C3434"/>
    <w:rsid w:val="001C3474"/>
    <w:rsid w:val="001C3DC6"/>
    <w:rsid w:val="001C3E02"/>
    <w:rsid w:val="001C456B"/>
    <w:rsid w:val="001C4A39"/>
    <w:rsid w:val="001C4F5F"/>
    <w:rsid w:val="001C54B8"/>
    <w:rsid w:val="001C589B"/>
    <w:rsid w:val="001C58A6"/>
    <w:rsid w:val="001C5BC8"/>
    <w:rsid w:val="001C5DBB"/>
    <w:rsid w:val="001C5F88"/>
    <w:rsid w:val="001C60F0"/>
    <w:rsid w:val="001C6182"/>
    <w:rsid w:val="001C619C"/>
    <w:rsid w:val="001C639F"/>
    <w:rsid w:val="001C66D2"/>
    <w:rsid w:val="001C6D44"/>
    <w:rsid w:val="001C7426"/>
    <w:rsid w:val="001C7F47"/>
    <w:rsid w:val="001D006C"/>
    <w:rsid w:val="001D00D0"/>
    <w:rsid w:val="001D056C"/>
    <w:rsid w:val="001D0578"/>
    <w:rsid w:val="001D0593"/>
    <w:rsid w:val="001D1258"/>
    <w:rsid w:val="001D19F8"/>
    <w:rsid w:val="001D1CFF"/>
    <w:rsid w:val="001D1E1F"/>
    <w:rsid w:val="001D2298"/>
    <w:rsid w:val="001D23A3"/>
    <w:rsid w:val="001D2B3C"/>
    <w:rsid w:val="001D2E6C"/>
    <w:rsid w:val="001D2F8F"/>
    <w:rsid w:val="001D3037"/>
    <w:rsid w:val="001D3098"/>
    <w:rsid w:val="001D30D4"/>
    <w:rsid w:val="001D35DC"/>
    <w:rsid w:val="001D3901"/>
    <w:rsid w:val="001D43C0"/>
    <w:rsid w:val="001D448E"/>
    <w:rsid w:val="001D4969"/>
    <w:rsid w:val="001D4AF0"/>
    <w:rsid w:val="001D4F24"/>
    <w:rsid w:val="001D506F"/>
    <w:rsid w:val="001D57BC"/>
    <w:rsid w:val="001D601E"/>
    <w:rsid w:val="001D65DA"/>
    <w:rsid w:val="001D6C9D"/>
    <w:rsid w:val="001D6E61"/>
    <w:rsid w:val="001D6F30"/>
    <w:rsid w:val="001D7260"/>
    <w:rsid w:val="001D72B1"/>
    <w:rsid w:val="001D7816"/>
    <w:rsid w:val="001D7ADE"/>
    <w:rsid w:val="001D7B96"/>
    <w:rsid w:val="001D7FE2"/>
    <w:rsid w:val="001E09F4"/>
    <w:rsid w:val="001E0A54"/>
    <w:rsid w:val="001E0A73"/>
    <w:rsid w:val="001E0E3C"/>
    <w:rsid w:val="001E111F"/>
    <w:rsid w:val="001E1284"/>
    <w:rsid w:val="001E1392"/>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2D6"/>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19E"/>
    <w:rsid w:val="001F45E8"/>
    <w:rsid w:val="001F4E57"/>
    <w:rsid w:val="001F4FE7"/>
    <w:rsid w:val="001F53A2"/>
    <w:rsid w:val="001F5C05"/>
    <w:rsid w:val="001F5C95"/>
    <w:rsid w:val="001F5C9E"/>
    <w:rsid w:val="001F5E73"/>
    <w:rsid w:val="001F5ED8"/>
    <w:rsid w:val="001F5F10"/>
    <w:rsid w:val="001F644E"/>
    <w:rsid w:val="001F676A"/>
    <w:rsid w:val="001F6889"/>
    <w:rsid w:val="001F6E45"/>
    <w:rsid w:val="001F72EA"/>
    <w:rsid w:val="001F7317"/>
    <w:rsid w:val="001F798D"/>
    <w:rsid w:val="001F7DD6"/>
    <w:rsid w:val="002000F2"/>
    <w:rsid w:val="002000FC"/>
    <w:rsid w:val="002005EF"/>
    <w:rsid w:val="0020085F"/>
    <w:rsid w:val="0020087C"/>
    <w:rsid w:val="00200920"/>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23B"/>
    <w:rsid w:val="002047DE"/>
    <w:rsid w:val="00204981"/>
    <w:rsid w:val="00204A5A"/>
    <w:rsid w:val="00204C12"/>
    <w:rsid w:val="00205543"/>
    <w:rsid w:val="00205635"/>
    <w:rsid w:val="002059A3"/>
    <w:rsid w:val="00205A84"/>
    <w:rsid w:val="00205AB2"/>
    <w:rsid w:val="00205CB2"/>
    <w:rsid w:val="00205D98"/>
    <w:rsid w:val="0020610B"/>
    <w:rsid w:val="002063A7"/>
    <w:rsid w:val="0020671A"/>
    <w:rsid w:val="0020674D"/>
    <w:rsid w:val="00206BF6"/>
    <w:rsid w:val="00206E5A"/>
    <w:rsid w:val="00207613"/>
    <w:rsid w:val="00207847"/>
    <w:rsid w:val="00207A74"/>
    <w:rsid w:val="00207AF9"/>
    <w:rsid w:val="00207BB9"/>
    <w:rsid w:val="00207C55"/>
    <w:rsid w:val="00207EB6"/>
    <w:rsid w:val="00210174"/>
    <w:rsid w:val="0021065B"/>
    <w:rsid w:val="002109D5"/>
    <w:rsid w:val="00210A2E"/>
    <w:rsid w:val="00210B05"/>
    <w:rsid w:val="00210C84"/>
    <w:rsid w:val="00210C91"/>
    <w:rsid w:val="00210F18"/>
    <w:rsid w:val="00210F42"/>
    <w:rsid w:val="00211042"/>
    <w:rsid w:val="00211345"/>
    <w:rsid w:val="002114FA"/>
    <w:rsid w:val="00211CC9"/>
    <w:rsid w:val="00211D31"/>
    <w:rsid w:val="00211DD9"/>
    <w:rsid w:val="002123ED"/>
    <w:rsid w:val="00212816"/>
    <w:rsid w:val="002130BD"/>
    <w:rsid w:val="00213851"/>
    <w:rsid w:val="002146C7"/>
    <w:rsid w:val="00214D12"/>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7"/>
    <w:rsid w:val="002208BE"/>
    <w:rsid w:val="0022091D"/>
    <w:rsid w:val="00220CFE"/>
    <w:rsid w:val="00220E92"/>
    <w:rsid w:val="00221022"/>
    <w:rsid w:val="0022135D"/>
    <w:rsid w:val="0022175D"/>
    <w:rsid w:val="00221A25"/>
    <w:rsid w:val="00222052"/>
    <w:rsid w:val="002222A4"/>
    <w:rsid w:val="00222AB8"/>
    <w:rsid w:val="00222B25"/>
    <w:rsid w:val="00222FE7"/>
    <w:rsid w:val="00223833"/>
    <w:rsid w:val="00223847"/>
    <w:rsid w:val="00223ACD"/>
    <w:rsid w:val="00224019"/>
    <w:rsid w:val="00224A38"/>
    <w:rsid w:val="00224A9B"/>
    <w:rsid w:val="002262AA"/>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895"/>
    <w:rsid w:val="00232A7C"/>
    <w:rsid w:val="00232E9D"/>
    <w:rsid w:val="0023324F"/>
    <w:rsid w:val="002336A0"/>
    <w:rsid w:val="002344C8"/>
    <w:rsid w:val="002349C5"/>
    <w:rsid w:val="002349C8"/>
    <w:rsid w:val="00234AE9"/>
    <w:rsid w:val="00234B73"/>
    <w:rsid w:val="00234CBE"/>
    <w:rsid w:val="00234D8C"/>
    <w:rsid w:val="00234D94"/>
    <w:rsid w:val="002352E8"/>
    <w:rsid w:val="00235581"/>
    <w:rsid w:val="00235698"/>
    <w:rsid w:val="002361C8"/>
    <w:rsid w:val="00236B8F"/>
    <w:rsid w:val="00236F71"/>
    <w:rsid w:val="00237143"/>
    <w:rsid w:val="002373FC"/>
    <w:rsid w:val="00237C6F"/>
    <w:rsid w:val="00237D22"/>
    <w:rsid w:val="0024029F"/>
    <w:rsid w:val="00240487"/>
    <w:rsid w:val="00240956"/>
    <w:rsid w:val="00240B7D"/>
    <w:rsid w:val="00240C63"/>
    <w:rsid w:val="00240F65"/>
    <w:rsid w:val="0024103F"/>
    <w:rsid w:val="00241C7B"/>
    <w:rsid w:val="00241D6D"/>
    <w:rsid w:val="002421F2"/>
    <w:rsid w:val="002427AF"/>
    <w:rsid w:val="0024284B"/>
    <w:rsid w:val="0024286B"/>
    <w:rsid w:val="00242B2A"/>
    <w:rsid w:val="00242CAE"/>
    <w:rsid w:val="00243ACD"/>
    <w:rsid w:val="00243B7F"/>
    <w:rsid w:val="00243FCB"/>
    <w:rsid w:val="0024445A"/>
    <w:rsid w:val="00244606"/>
    <w:rsid w:val="00244924"/>
    <w:rsid w:val="002449F4"/>
    <w:rsid w:val="00244B06"/>
    <w:rsid w:val="00245115"/>
    <w:rsid w:val="0024514D"/>
    <w:rsid w:val="00245167"/>
    <w:rsid w:val="0024520E"/>
    <w:rsid w:val="0024530E"/>
    <w:rsid w:val="00245492"/>
    <w:rsid w:val="00245A41"/>
    <w:rsid w:val="00245AF4"/>
    <w:rsid w:val="00245B70"/>
    <w:rsid w:val="00245D7D"/>
    <w:rsid w:val="00245E39"/>
    <w:rsid w:val="00245E49"/>
    <w:rsid w:val="00245FBA"/>
    <w:rsid w:val="00245FDB"/>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72"/>
    <w:rsid w:val="002530D6"/>
    <w:rsid w:val="002530D9"/>
    <w:rsid w:val="0025325D"/>
    <w:rsid w:val="002533FF"/>
    <w:rsid w:val="00253400"/>
    <w:rsid w:val="002537F5"/>
    <w:rsid w:val="00253905"/>
    <w:rsid w:val="002539D5"/>
    <w:rsid w:val="0025429A"/>
    <w:rsid w:val="00256035"/>
    <w:rsid w:val="0025655A"/>
    <w:rsid w:val="00256A28"/>
    <w:rsid w:val="00256A6D"/>
    <w:rsid w:val="00256B22"/>
    <w:rsid w:val="00256B25"/>
    <w:rsid w:val="00256D51"/>
    <w:rsid w:val="00256F02"/>
    <w:rsid w:val="002571C8"/>
    <w:rsid w:val="002572F1"/>
    <w:rsid w:val="002573B3"/>
    <w:rsid w:val="002573C4"/>
    <w:rsid w:val="00257A62"/>
    <w:rsid w:val="00260156"/>
    <w:rsid w:val="0026075E"/>
    <w:rsid w:val="002608BD"/>
    <w:rsid w:val="00260FAD"/>
    <w:rsid w:val="002617F6"/>
    <w:rsid w:val="00261D05"/>
    <w:rsid w:val="002623AC"/>
    <w:rsid w:val="00262682"/>
    <w:rsid w:val="00262979"/>
    <w:rsid w:val="00263038"/>
    <w:rsid w:val="002631DC"/>
    <w:rsid w:val="0026382D"/>
    <w:rsid w:val="0026385F"/>
    <w:rsid w:val="00263DD9"/>
    <w:rsid w:val="00264256"/>
    <w:rsid w:val="0026432F"/>
    <w:rsid w:val="0026455A"/>
    <w:rsid w:val="0026460B"/>
    <w:rsid w:val="0026468A"/>
    <w:rsid w:val="00264C28"/>
    <w:rsid w:val="00264E37"/>
    <w:rsid w:val="00264FB2"/>
    <w:rsid w:val="0026533C"/>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491"/>
    <w:rsid w:val="0027257A"/>
    <w:rsid w:val="00272736"/>
    <w:rsid w:val="00272BB1"/>
    <w:rsid w:val="00272D06"/>
    <w:rsid w:val="00272FEB"/>
    <w:rsid w:val="00273644"/>
    <w:rsid w:val="002738C9"/>
    <w:rsid w:val="00273B2D"/>
    <w:rsid w:val="00273CFB"/>
    <w:rsid w:val="00274668"/>
    <w:rsid w:val="00274ACE"/>
    <w:rsid w:val="00274CE5"/>
    <w:rsid w:val="00274D04"/>
    <w:rsid w:val="00274D08"/>
    <w:rsid w:val="00274DE3"/>
    <w:rsid w:val="00274E57"/>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B88"/>
    <w:rsid w:val="002814AA"/>
    <w:rsid w:val="0028164E"/>
    <w:rsid w:val="0028168F"/>
    <w:rsid w:val="00281DD5"/>
    <w:rsid w:val="002825CE"/>
    <w:rsid w:val="0028272A"/>
    <w:rsid w:val="00283165"/>
    <w:rsid w:val="002832E7"/>
    <w:rsid w:val="00283B67"/>
    <w:rsid w:val="00283C3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75"/>
    <w:rsid w:val="00292540"/>
    <w:rsid w:val="0029279E"/>
    <w:rsid w:val="00292F2A"/>
    <w:rsid w:val="00293318"/>
    <w:rsid w:val="00293504"/>
    <w:rsid w:val="00293C49"/>
    <w:rsid w:val="00294266"/>
    <w:rsid w:val="002944CA"/>
    <w:rsid w:val="00294504"/>
    <w:rsid w:val="00294722"/>
    <w:rsid w:val="00294AB1"/>
    <w:rsid w:val="00294C8C"/>
    <w:rsid w:val="00295226"/>
    <w:rsid w:val="002953D0"/>
    <w:rsid w:val="00295892"/>
    <w:rsid w:val="00295F1C"/>
    <w:rsid w:val="002960D8"/>
    <w:rsid w:val="0029660E"/>
    <w:rsid w:val="00296758"/>
    <w:rsid w:val="0029696C"/>
    <w:rsid w:val="00296D93"/>
    <w:rsid w:val="00296FD8"/>
    <w:rsid w:val="0029743A"/>
    <w:rsid w:val="00297499"/>
    <w:rsid w:val="002974AA"/>
    <w:rsid w:val="002977A0"/>
    <w:rsid w:val="00297D9D"/>
    <w:rsid w:val="00297F46"/>
    <w:rsid w:val="002A025C"/>
    <w:rsid w:val="002A0581"/>
    <w:rsid w:val="002A05EF"/>
    <w:rsid w:val="002A0724"/>
    <w:rsid w:val="002A1A57"/>
    <w:rsid w:val="002A1DA1"/>
    <w:rsid w:val="002A205B"/>
    <w:rsid w:val="002A2E58"/>
    <w:rsid w:val="002A2FB8"/>
    <w:rsid w:val="002A31FF"/>
    <w:rsid w:val="002A3668"/>
    <w:rsid w:val="002A3771"/>
    <w:rsid w:val="002A37C5"/>
    <w:rsid w:val="002A3AFD"/>
    <w:rsid w:val="002A3B12"/>
    <w:rsid w:val="002A4102"/>
    <w:rsid w:val="002A4918"/>
    <w:rsid w:val="002A4B7D"/>
    <w:rsid w:val="002A4E20"/>
    <w:rsid w:val="002A523D"/>
    <w:rsid w:val="002A5410"/>
    <w:rsid w:val="002A5FC1"/>
    <w:rsid w:val="002A6EF8"/>
    <w:rsid w:val="002A732C"/>
    <w:rsid w:val="002A7A6A"/>
    <w:rsid w:val="002A7AB4"/>
    <w:rsid w:val="002B06F8"/>
    <w:rsid w:val="002B07BF"/>
    <w:rsid w:val="002B0805"/>
    <w:rsid w:val="002B0960"/>
    <w:rsid w:val="002B0C99"/>
    <w:rsid w:val="002B1015"/>
    <w:rsid w:val="002B10F9"/>
    <w:rsid w:val="002B12C7"/>
    <w:rsid w:val="002B15CF"/>
    <w:rsid w:val="002B1939"/>
    <w:rsid w:val="002B1AFA"/>
    <w:rsid w:val="002B21D6"/>
    <w:rsid w:val="002B2C92"/>
    <w:rsid w:val="002B3081"/>
    <w:rsid w:val="002B318B"/>
    <w:rsid w:val="002B32BC"/>
    <w:rsid w:val="002B340B"/>
    <w:rsid w:val="002B34AE"/>
    <w:rsid w:val="002B39E3"/>
    <w:rsid w:val="002B3D90"/>
    <w:rsid w:val="002B453B"/>
    <w:rsid w:val="002B47C6"/>
    <w:rsid w:val="002B49B9"/>
    <w:rsid w:val="002B4C39"/>
    <w:rsid w:val="002B505A"/>
    <w:rsid w:val="002B5F5C"/>
    <w:rsid w:val="002B601A"/>
    <w:rsid w:val="002B60FF"/>
    <w:rsid w:val="002B61F1"/>
    <w:rsid w:val="002B64FE"/>
    <w:rsid w:val="002B694E"/>
    <w:rsid w:val="002B6D31"/>
    <w:rsid w:val="002B6E52"/>
    <w:rsid w:val="002B70A2"/>
    <w:rsid w:val="002B7D56"/>
    <w:rsid w:val="002C0328"/>
    <w:rsid w:val="002C04C2"/>
    <w:rsid w:val="002C0818"/>
    <w:rsid w:val="002C0D11"/>
    <w:rsid w:val="002C15DA"/>
    <w:rsid w:val="002C1B17"/>
    <w:rsid w:val="002C1D21"/>
    <w:rsid w:val="002C203A"/>
    <w:rsid w:val="002C2AE9"/>
    <w:rsid w:val="002C2B29"/>
    <w:rsid w:val="002C2E8A"/>
    <w:rsid w:val="002C2FCD"/>
    <w:rsid w:val="002C3AE4"/>
    <w:rsid w:val="002C3E89"/>
    <w:rsid w:val="002C42AA"/>
    <w:rsid w:val="002C479D"/>
    <w:rsid w:val="002C4AF6"/>
    <w:rsid w:val="002C5533"/>
    <w:rsid w:val="002C5620"/>
    <w:rsid w:val="002C587C"/>
    <w:rsid w:val="002C5A6B"/>
    <w:rsid w:val="002C61E0"/>
    <w:rsid w:val="002C640C"/>
    <w:rsid w:val="002C6D3C"/>
    <w:rsid w:val="002C7114"/>
    <w:rsid w:val="002C74E6"/>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6A23"/>
    <w:rsid w:val="002D7235"/>
    <w:rsid w:val="002D76E8"/>
    <w:rsid w:val="002D78EF"/>
    <w:rsid w:val="002D7EA0"/>
    <w:rsid w:val="002E0E5E"/>
    <w:rsid w:val="002E0E94"/>
    <w:rsid w:val="002E15A5"/>
    <w:rsid w:val="002E16BC"/>
    <w:rsid w:val="002E1E06"/>
    <w:rsid w:val="002E2059"/>
    <w:rsid w:val="002E25D2"/>
    <w:rsid w:val="002E2738"/>
    <w:rsid w:val="002E2923"/>
    <w:rsid w:val="002E29D7"/>
    <w:rsid w:val="002E2A76"/>
    <w:rsid w:val="002E306D"/>
    <w:rsid w:val="002E31D5"/>
    <w:rsid w:val="002E3653"/>
    <w:rsid w:val="002E38B7"/>
    <w:rsid w:val="002E406C"/>
    <w:rsid w:val="002E4301"/>
    <w:rsid w:val="002E453E"/>
    <w:rsid w:val="002E4C3A"/>
    <w:rsid w:val="002E58E1"/>
    <w:rsid w:val="002E5BDD"/>
    <w:rsid w:val="002E5C56"/>
    <w:rsid w:val="002E5D86"/>
    <w:rsid w:val="002E5DD7"/>
    <w:rsid w:val="002E6809"/>
    <w:rsid w:val="002E7165"/>
    <w:rsid w:val="002E7780"/>
    <w:rsid w:val="002F0045"/>
    <w:rsid w:val="002F00F0"/>
    <w:rsid w:val="002F025B"/>
    <w:rsid w:val="002F0684"/>
    <w:rsid w:val="002F06A8"/>
    <w:rsid w:val="002F09C0"/>
    <w:rsid w:val="002F0ADB"/>
    <w:rsid w:val="002F0E34"/>
    <w:rsid w:val="002F16C4"/>
    <w:rsid w:val="002F1D03"/>
    <w:rsid w:val="002F22C3"/>
    <w:rsid w:val="002F2AE0"/>
    <w:rsid w:val="002F31C4"/>
    <w:rsid w:val="002F322F"/>
    <w:rsid w:val="002F3885"/>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81"/>
    <w:rsid w:val="002F5FDA"/>
    <w:rsid w:val="002F618D"/>
    <w:rsid w:val="002F63ED"/>
    <w:rsid w:val="002F6AC6"/>
    <w:rsid w:val="002F6BDA"/>
    <w:rsid w:val="002F74BE"/>
    <w:rsid w:val="002F778C"/>
    <w:rsid w:val="002F7919"/>
    <w:rsid w:val="002F79D1"/>
    <w:rsid w:val="002F7B6D"/>
    <w:rsid w:val="002F7D48"/>
    <w:rsid w:val="002F7EC5"/>
    <w:rsid w:val="00300085"/>
    <w:rsid w:val="0030027C"/>
    <w:rsid w:val="003003AD"/>
    <w:rsid w:val="00300E5F"/>
    <w:rsid w:val="003011C0"/>
    <w:rsid w:val="00301686"/>
    <w:rsid w:val="003018AF"/>
    <w:rsid w:val="00301DA6"/>
    <w:rsid w:val="00301EE4"/>
    <w:rsid w:val="003024DE"/>
    <w:rsid w:val="00302532"/>
    <w:rsid w:val="00302701"/>
    <w:rsid w:val="00302739"/>
    <w:rsid w:val="00302B48"/>
    <w:rsid w:val="00302EDE"/>
    <w:rsid w:val="00302FEF"/>
    <w:rsid w:val="0030318E"/>
    <w:rsid w:val="003037F0"/>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C2"/>
    <w:rsid w:val="00314CBB"/>
    <w:rsid w:val="0031599D"/>
    <w:rsid w:val="00315DEC"/>
    <w:rsid w:val="00316064"/>
    <w:rsid w:val="00316C53"/>
    <w:rsid w:val="00316C58"/>
    <w:rsid w:val="00316EAE"/>
    <w:rsid w:val="00317050"/>
    <w:rsid w:val="003170FD"/>
    <w:rsid w:val="00317625"/>
    <w:rsid w:val="0031767A"/>
    <w:rsid w:val="00317731"/>
    <w:rsid w:val="00317BC5"/>
    <w:rsid w:val="00317C5E"/>
    <w:rsid w:val="0032013F"/>
    <w:rsid w:val="0032018E"/>
    <w:rsid w:val="00320310"/>
    <w:rsid w:val="00320B1B"/>
    <w:rsid w:val="00320B31"/>
    <w:rsid w:val="00320F1B"/>
    <w:rsid w:val="0032151E"/>
    <w:rsid w:val="0032172E"/>
    <w:rsid w:val="003217FD"/>
    <w:rsid w:val="00321822"/>
    <w:rsid w:val="00321B02"/>
    <w:rsid w:val="00321E03"/>
    <w:rsid w:val="0032287E"/>
    <w:rsid w:val="00322BC3"/>
    <w:rsid w:val="00322C2B"/>
    <w:rsid w:val="00322E3B"/>
    <w:rsid w:val="00323273"/>
    <w:rsid w:val="003232E3"/>
    <w:rsid w:val="003237B5"/>
    <w:rsid w:val="00323FAD"/>
    <w:rsid w:val="00324089"/>
    <w:rsid w:val="00324701"/>
    <w:rsid w:val="0032489D"/>
    <w:rsid w:val="003249F8"/>
    <w:rsid w:val="00324A21"/>
    <w:rsid w:val="0032556B"/>
    <w:rsid w:val="0032651E"/>
    <w:rsid w:val="003267A6"/>
    <w:rsid w:val="00326965"/>
    <w:rsid w:val="003271E3"/>
    <w:rsid w:val="003272D0"/>
    <w:rsid w:val="003273DE"/>
    <w:rsid w:val="003278C7"/>
    <w:rsid w:val="0032793B"/>
    <w:rsid w:val="00327AEA"/>
    <w:rsid w:val="00327C3F"/>
    <w:rsid w:val="00327D99"/>
    <w:rsid w:val="00327FA5"/>
    <w:rsid w:val="00327FBE"/>
    <w:rsid w:val="003308C4"/>
    <w:rsid w:val="00330C30"/>
    <w:rsid w:val="00330C75"/>
    <w:rsid w:val="00330DE8"/>
    <w:rsid w:val="00332123"/>
    <w:rsid w:val="003321C3"/>
    <w:rsid w:val="003324FC"/>
    <w:rsid w:val="003327DD"/>
    <w:rsid w:val="00332962"/>
    <w:rsid w:val="00333B13"/>
    <w:rsid w:val="00333D8E"/>
    <w:rsid w:val="003346F8"/>
    <w:rsid w:val="003348FD"/>
    <w:rsid w:val="00334E18"/>
    <w:rsid w:val="00335250"/>
    <w:rsid w:val="00335670"/>
    <w:rsid w:val="0033572D"/>
    <w:rsid w:val="0033592C"/>
    <w:rsid w:val="00335E2A"/>
    <w:rsid w:val="003365CE"/>
    <w:rsid w:val="00336780"/>
    <w:rsid w:val="003367C5"/>
    <w:rsid w:val="00336DAD"/>
    <w:rsid w:val="00336DB3"/>
    <w:rsid w:val="00337065"/>
    <w:rsid w:val="00337B29"/>
    <w:rsid w:val="00337C71"/>
    <w:rsid w:val="0034068C"/>
    <w:rsid w:val="003406B1"/>
    <w:rsid w:val="00340894"/>
    <w:rsid w:val="00340CC6"/>
    <w:rsid w:val="00340E58"/>
    <w:rsid w:val="00341087"/>
    <w:rsid w:val="003413C9"/>
    <w:rsid w:val="00341706"/>
    <w:rsid w:val="00341CFA"/>
    <w:rsid w:val="0034246D"/>
    <w:rsid w:val="0034305B"/>
    <w:rsid w:val="0034307F"/>
    <w:rsid w:val="003432D0"/>
    <w:rsid w:val="00343C24"/>
    <w:rsid w:val="00343FA6"/>
    <w:rsid w:val="00344725"/>
    <w:rsid w:val="00344901"/>
    <w:rsid w:val="0034511B"/>
    <w:rsid w:val="003453BF"/>
    <w:rsid w:val="00345AE6"/>
    <w:rsid w:val="003468D0"/>
    <w:rsid w:val="0034745C"/>
    <w:rsid w:val="003474CD"/>
    <w:rsid w:val="0034774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1FF"/>
    <w:rsid w:val="003532D2"/>
    <w:rsid w:val="003536C6"/>
    <w:rsid w:val="003539B2"/>
    <w:rsid w:val="00353B23"/>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59C"/>
    <w:rsid w:val="003617B5"/>
    <w:rsid w:val="0036185C"/>
    <w:rsid w:val="00361B1A"/>
    <w:rsid w:val="00361C43"/>
    <w:rsid w:val="0036227D"/>
    <w:rsid w:val="0036262C"/>
    <w:rsid w:val="00362C5A"/>
    <w:rsid w:val="003634F8"/>
    <w:rsid w:val="003635B6"/>
    <w:rsid w:val="0036362F"/>
    <w:rsid w:val="00363FC9"/>
    <w:rsid w:val="00364C7B"/>
    <w:rsid w:val="00365023"/>
    <w:rsid w:val="00365644"/>
    <w:rsid w:val="0036590C"/>
    <w:rsid w:val="003665C5"/>
    <w:rsid w:val="00366B3A"/>
    <w:rsid w:val="00370285"/>
    <w:rsid w:val="00370372"/>
    <w:rsid w:val="003704EE"/>
    <w:rsid w:val="00370880"/>
    <w:rsid w:val="00370EFD"/>
    <w:rsid w:val="00371137"/>
    <w:rsid w:val="003711C5"/>
    <w:rsid w:val="003713B4"/>
    <w:rsid w:val="00371965"/>
    <w:rsid w:val="003719F5"/>
    <w:rsid w:val="00371C1D"/>
    <w:rsid w:val="00372019"/>
    <w:rsid w:val="00372029"/>
    <w:rsid w:val="003724A1"/>
    <w:rsid w:val="00372A6B"/>
    <w:rsid w:val="00372C12"/>
    <w:rsid w:val="00372CD9"/>
    <w:rsid w:val="00372CFC"/>
    <w:rsid w:val="00372EDE"/>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24"/>
    <w:rsid w:val="00376E0C"/>
    <w:rsid w:val="0037709A"/>
    <w:rsid w:val="00377146"/>
    <w:rsid w:val="003771CA"/>
    <w:rsid w:val="00377397"/>
    <w:rsid w:val="0037757C"/>
    <w:rsid w:val="003775BD"/>
    <w:rsid w:val="0038040A"/>
    <w:rsid w:val="00380520"/>
    <w:rsid w:val="00380543"/>
    <w:rsid w:val="00380602"/>
    <w:rsid w:val="00380892"/>
    <w:rsid w:val="00380BBD"/>
    <w:rsid w:val="00380FF5"/>
    <w:rsid w:val="003813CE"/>
    <w:rsid w:val="0038158E"/>
    <w:rsid w:val="003821E7"/>
    <w:rsid w:val="0038269E"/>
    <w:rsid w:val="00382903"/>
    <w:rsid w:val="003839B6"/>
    <w:rsid w:val="00383D4B"/>
    <w:rsid w:val="00383DDB"/>
    <w:rsid w:val="00384288"/>
    <w:rsid w:val="003842A8"/>
    <w:rsid w:val="003846C9"/>
    <w:rsid w:val="00384747"/>
    <w:rsid w:val="003848D9"/>
    <w:rsid w:val="00384BC0"/>
    <w:rsid w:val="003852CC"/>
    <w:rsid w:val="003853A0"/>
    <w:rsid w:val="003855AF"/>
    <w:rsid w:val="00385A70"/>
    <w:rsid w:val="00385BD7"/>
    <w:rsid w:val="003861FA"/>
    <w:rsid w:val="003862EA"/>
    <w:rsid w:val="00386688"/>
    <w:rsid w:val="00386A15"/>
    <w:rsid w:val="00386B71"/>
    <w:rsid w:val="0038702D"/>
    <w:rsid w:val="003870BC"/>
    <w:rsid w:val="0038732E"/>
    <w:rsid w:val="003875A7"/>
    <w:rsid w:val="00387675"/>
    <w:rsid w:val="00387771"/>
    <w:rsid w:val="0038780F"/>
    <w:rsid w:val="00387866"/>
    <w:rsid w:val="00387868"/>
    <w:rsid w:val="00387B2B"/>
    <w:rsid w:val="00390414"/>
    <w:rsid w:val="00390449"/>
    <w:rsid w:val="003904B1"/>
    <w:rsid w:val="003907D2"/>
    <w:rsid w:val="00390C56"/>
    <w:rsid w:val="0039122C"/>
    <w:rsid w:val="0039124D"/>
    <w:rsid w:val="00391354"/>
    <w:rsid w:val="00391A92"/>
    <w:rsid w:val="00391C99"/>
    <w:rsid w:val="003926BE"/>
    <w:rsid w:val="003926C1"/>
    <w:rsid w:val="003929BE"/>
    <w:rsid w:val="003929D3"/>
    <w:rsid w:val="00392A1F"/>
    <w:rsid w:val="00392DB8"/>
    <w:rsid w:val="00392FA0"/>
    <w:rsid w:val="003933FD"/>
    <w:rsid w:val="00393A68"/>
    <w:rsid w:val="00393B78"/>
    <w:rsid w:val="003945DA"/>
    <w:rsid w:val="003946B1"/>
    <w:rsid w:val="00394775"/>
    <w:rsid w:val="00394948"/>
    <w:rsid w:val="00394B44"/>
    <w:rsid w:val="00394D6C"/>
    <w:rsid w:val="0039502C"/>
    <w:rsid w:val="0039511F"/>
    <w:rsid w:val="003956E2"/>
    <w:rsid w:val="003956FE"/>
    <w:rsid w:val="0039570D"/>
    <w:rsid w:val="0039586B"/>
    <w:rsid w:val="003958F1"/>
    <w:rsid w:val="00395989"/>
    <w:rsid w:val="0039598F"/>
    <w:rsid w:val="00395DB2"/>
    <w:rsid w:val="0039610F"/>
    <w:rsid w:val="003962EC"/>
    <w:rsid w:val="003965AE"/>
    <w:rsid w:val="0039665F"/>
    <w:rsid w:val="00396BBB"/>
    <w:rsid w:val="00396CDE"/>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BD6"/>
    <w:rsid w:val="003A2D39"/>
    <w:rsid w:val="003A2FE7"/>
    <w:rsid w:val="003A3312"/>
    <w:rsid w:val="003A349E"/>
    <w:rsid w:val="003A38AC"/>
    <w:rsid w:val="003A42BB"/>
    <w:rsid w:val="003A44AA"/>
    <w:rsid w:val="003A45FB"/>
    <w:rsid w:val="003A48FC"/>
    <w:rsid w:val="003A4A2E"/>
    <w:rsid w:val="003A4B5F"/>
    <w:rsid w:val="003A4CD4"/>
    <w:rsid w:val="003A4E82"/>
    <w:rsid w:val="003A523B"/>
    <w:rsid w:val="003A5865"/>
    <w:rsid w:val="003A590E"/>
    <w:rsid w:val="003A5CC5"/>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AAF"/>
    <w:rsid w:val="003B4B90"/>
    <w:rsid w:val="003B4D9B"/>
    <w:rsid w:val="003B4E9C"/>
    <w:rsid w:val="003B4F75"/>
    <w:rsid w:val="003B570F"/>
    <w:rsid w:val="003B5B57"/>
    <w:rsid w:val="003B5B7E"/>
    <w:rsid w:val="003B5BCB"/>
    <w:rsid w:val="003B5E30"/>
    <w:rsid w:val="003B6FCB"/>
    <w:rsid w:val="003B7020"/>
    <w:rsid w:val="003B7294"/>
    <w:rsid w:val="003B76FE"/>
    <w:rsid w:val="003C009A"/>
    <w:rsid w:val="003C07D7"/>
    <w:rsid w:val="003C0985"/>
    <w:rsid w:val="003C10B8"/>
    <w:rsid w:val="003C1402"/>
    <w:rsid w:val="003C1BE8"/>
    <w:rsid w:val="003C2C9D"/>
    <w:rsid w:val="003C3B73"/>
    <w:rsid w:val="003C3D6E"/>
    <w:rsid w:val="003C3F8B"/>
    <w:rsid w:val="003C4213"/>
    <w:rsid w:val="003C4250"/>
    <w:rsid w:val="003C44DB"/>
    <w:rsid w:val="003C4B1C"/>
    <w:rsid w:val="003C4F25"/>
    <w:rsid w:val="003C64CD"/>
    <w:rsid w:val="003C6580"/>
    <w:rsid w:val="003C6906"/>
    <w:rsid w:val="003C6CCB"/>
    <w:rsid w:val="003C6CD8"/>
    <w:rsid w:val="003C6DA9"/>
    <w:rsid w:val="003C7855"/>
    <w:rsid w:val="003C7AE8"/>
    <w:rsid w:val="003D0240"/>
    <w:rsid w:val="003D042F"/>
    <w:rsid w:val="003D06A7"/>
    <w:rsid w:val="003D0868"/>
    <w:rsid w:val="003D09DA"/>
    <w:rsid w:val="003D0D75"/>
    <w:rsid w:val="003D1CD0"/>
    <w:rsid w:val="003D1F11"/>
    <w:rsid w:val="003D22AC"/>
    <w:rsid w:val="003D2339"/>
    <w:rsid w:val="003D26AA"/>
    <w:rsid w:val="003D2E43"/>
    <w:rsid w:val="003D3793"/>
    <w:rsid w:val="003D3AD8"/>
    <w:rsid w:val="003D3EE3"/>
    <w:rsid w:val="003D4350"/>
    <w:rsid w:val="003D4409"/>
    <w:rsid w:val="003D488D"/>
    <w:rsid w:val="003D519A"/>
    <w:rsid w:val="003D5717"/>
    <w:rsid w:val="003D5878"/>
    <w:rsid w:val="003D59FE"/>
    <w:rsid w:val="003D5AF5"/>
    <w:rsid w:val="003D60E2"/>
    <w:rsid w:val="003D63BA"/>
    <w:rsid w:val="003D6598"/>
    <w:rsid w:val="003D680E"/>
    <w:rsid w:val="003D69ED"/>
    <w:rsid w:val="003D6B43"/>
    <w:rsid w:val="003D73CF"/>
    <w:rsid w:val="003D740C"/>
    <w:rsid w:val="003D79E8"/>
    <w:rsid w:val="003D7CC1"/>
    <w:rsid w:val="003D7DD3"/>
    <w:rsid w:val="003D7ECA"/>
    <w:rsid w:val="003D7F46"/>
    <w:rsid w:val="003E00D2"/>
    <w:rsid w:val="003E0487"/>
    <w:rsid w:val="003E0622"/>
    <w:rsid w:val="003E089F"/>
    <w:rsid w:val="003E0974"/>
    <w:rsid w:val="003E0ADB"/>
    <w:rsid w:val="003E0CE4"/>
    <w:rsid w:val="003E1370"/>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C5B"/>
    <w:rsid w:val="003E3CA6"/>
    <w:rsid w:val="003E40C9"/>
    <w:rsid w:val="003E416F"/>
    <w:rsid w:val="003E44DC"/>
    <w:rsid w:val="003E4884"/>
    <w:rsid w:val="003E4CDB"/>
    <w:rsid w:val="003E5877"/>
    <w:rsid w:val="003E5DD3"/>
    <w:rsid w:val="003E60F4"/>
    <w:rsid w:val="003E6289"/>
    <w:rsid w:val="003E6592"/>
    <w:rsid w:val="003E679D"/>
    <w:rsid w:val="003E6A3C"/>
    <w:rsid w:val="003E6EC6"/>
    <w:rsid w:val="003E700A"/>
    <w:rsid w:val="003E7313"/>
    <w:rsid w:val="003E73BC"/>
    <w:rsid w:val="003E76BB"/>
    <w:rsid w:val="003E7706"/>
    <w:rsid w:val="003E7C5E"/>
    <w:rsid w:val="003E7CB1"/>
    <w:rsid w:val="003F0077"/>
    <w:rsid w:val="003F0281"/>
    <w:rsid w:val="003F0656"/>
    <w:rsid w:val="003F066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D45"/>
    <w:rsid w:val="003F62B4"/>
    <w:rsid w:val="003F62F9"/>
    <w:rsid w:val="003F682D"/>
    <w:rsid w:val="003F6853"/>
    <w:rsid w:val="003F6930"/>
    <w:rsid w:val="003F697D"/>
    <w:rsid w:val="003F6A42"/>
    <w:rsid w:val="003F6A55"/>
    <w:rsid w:val="003F7353"/>
    <w:rsid w:val="003F73A0"/>
    <w:rsid w:val="003F75DD"/>
    <w:rsid w:val="003F7908"/>
    <w:rsid w:val="003F7A7C"/>
    <w:rsid w:val="003F7DFF"/>
    <w:rsid w:val="0040015E"/>
    <w:rsid w:val="00400427"/>
    <w:rsid w:val="00400615"/>
    <w:rsid w:val="00400AB0"/>
    <w:rsid w:val="00400C03"/>
    <w:rsid w:val="00400D86"/>
    <w:rsid w:val="004010EF"/>
    <w:rsid w:val="004017C6"/>
    <w:rsid w:val="00402057"/>
    <w:rsid w:val="004021B5"/>
    <w:rsid w:val="004024AB"/>
    <w:rsid w:val="00402DC4"/>
    <w:rsid w:val="00402F2C"/>
    <w:rsid w:val="0040303D"/>
    <w:rsid w:val="00403223"/>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589"/>
    <w:rsid w:val="00406D4A"/>
    <w:rsid w:val="00406D9D"/>
    <w:rsid w:val="00406E7A"/>
    <w:rsid w:val="00406F4B"/>
    <w:rsid w:val="00406FBD"/>
    <w:rsid w:val="004073B0"/>
    <w:rsid w:val="00407612"/>
    <w:rsid w:val="0041029D"/>
    <w:rsid w:val="004102A7"/>
    <w:rsid w:val="00410424"/>
    <w:rsid w:val="004106F9"/>
    <w:rsid w:val="00410B5A"/>
    <w:rsid w:val="00411230"/>
    <w:rsid w:val="00411472"/>
    <w:rsid w:val="00411558"/>
    <w:rsid w:val="004116C3"/>
    <w:rsid w:val="004118C9"/>
    <w:rsid w:val="00412263"/>
    <w:rsid w:val="0041249C"/>
    <w:rsid w:val="00412697"/>
    <w:rsid w:val="00412735"/>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A3"/>
    <w:rsid w:val="004174FC"/>
    <w:rsid w:val="00417678"/>
    <w:rsid w:val="00417AFB"/>
    <w:rsid w:val="00417D10"/>
    <w:rsid w:val="00420126"/>
    <w:rsid w:val="00420249"/>
    <w:rsid w:val="004203CF"/>
    <w:rsid w:val="00420658"/>
    <w:rsid w:val="00420755"/>
    <w:rsid w:val="00420CB7"/>
    <w:rsid w:val="004213C2"/>
    <w:rsid w:val="004213E8"/>
    <w:rsid w:val="0042156E"/>
    <w:rsid w:val="00421E94"/>
    <w:rsid w:val="00421EC6"/>
    <w:rsid w:val="004222BF"/>
    <w:rsid w:val="00422A01"/>
    <w:rsid w:val="00422D62"/>
    <w:rsid w:val="00422DB5"/>
    <w:rsid w:val="004232D4"/>
    <w:rsid w:val="00423326"/>
    <w:rsid w:val="004235A3"/>
    <w:rsid w:val="00423774"/>
    <w:rsid w:val="0042408B"/>
    <w:rsid w:val="004241DA"/>
    <w:rsid w:val="00424844"/>
    <w:rsid w:val="004249D0"/>
    <w:rsid w:val="00424CE4"/>
    <w:rsid w:val="004251F8"/>
    <w:rsid w:val="004253B1"/>
    <w:rsid w:val="00425C97"/>
    <w:rsid w:val="00425E42"/>
    <w:rsid w:val="00425FFD"/>
    <w:rsid w:val="004262F8"/>
    <w:rsid w:val="00426442"/>
    <w:rsid w:val="0042654A"/>
    <w:rsid w:val="00426A93"/>
    <w:rsid w:val="00426D1A"/>
    <w:rsid w:val="00426DFA"/>
    <w:rsid w:val="004272ED"/>
    <w:rsid w:val="004276E3"/>
    <w:rsid w:val="00427AA7"/>
    <w:rsid w:val="00427B9D"/>
    <w:rsid w:val="00427BFB"/>
    <w:rsid w:val="00427E67"/>
    <w:rsid w:val="00430178"/>
    <w:rsid w:val="004303B3"/>
    <w:rsid w:val="0043042C"/>
    <w:rsid w:val="00430495"/>
    <w:rsid w:val="0043063B"/>
    <w:rsid w:val="00430733"/>
    <w:rsid w:val="00430CD1"/>
    <w:rsid w:val="00430D5E"/>
    <w:rsid w:val="00430D78"/>
    <w:rsid w:val="00431149"/>
    <w:rsid w:val="0043189C"/>
    <w:rsid w:val="004318FF"/>
    <w:rsid w:val="00431CB1"/>
    <w:rsid w:val="00431DB5"/>
    <w:rsid w:val="0043270B"/>
    <w:rsid w:val="00432780"/>
    <w:rsid w:val="00432F8F"/>
    <w:rsid w:val="00432F9E"/>
    <w:rsid w:val="00433106"/>
    <w:rsid w:val="0043359F"/>
    <w:rsid w:val="00433D8A"/>
    <w:rsid w:val="00434066"/>
    <w:rsid w:val="004342F4"/>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589"/>
    <w:rsid w:val="00437895"/>
    <w:rsid w:val="00437E77"/>
    <w:rsid w:val="004402A7"/>
    <w:rsid w:val="0044035D"/>
    <w:rsid w:val="00440850"/>
    <w:rsid w:val="00440EA5"/>
    <w:rsid w:val="0044142F"/>
    <w:rsid w:val="0044173B"/>
    <w:rsid w:val="004425C2"/>
    <w:rsid w:val="004426FE"/>
    <w:rsid w:val="00442824"/>
    <w:rsid w:val="00442F38"/>
    <w:rsid w:val="00442FFB"/>
    <w:rsid w:val="004430FD"/>
    <w:rsid w:val="00443490"/>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2EF"/>
    <w:rsid w:val="00446424"/>
    <w:rsid w:val="0044662A"/>
    <w:rsid w:val="00447342"/>
    <w:rsid w:val="004478FA"/>
    <w:rsid w:val="00447FB0"/>
    <w:rsid w:val="004503F9"/>
    <w:rsid w:val="00450778"/>
    <w:rsid w:val="00450D15"/>
    <w:rsid w:val="00450D3B"/>
    <w:rsid w:val="0045169D"/>
    <w:rsid w:val="004518D5"/>
    <w:rsid w:val="00451B06"/>
    <w:rsid w:val="00451BEB"/>
    <w:rsid w:val="004520FE"/>
    <w:rsid w:val="004527C0"/>
    <w:rsid w:val="00453871"/>
    <w:rsid w:val="00453980"/>
    <w:rsid w:val="00453BB4"/>
    <w:rsid w:val="00453DEF"/>
    <w:rsid w:val="004540AC"/>
    <w:rsid w:val="004543E4"/>
    <w:rsid w:val="004548E5"/>
    <w:rsid w:val="00454ACD"/>
    <w:rsid w:val="00454F08"/>
    <w:rsid w:val="00454F85"/>
    <w:rsid w:val="00455105"/>
    <w:rsid w:val="0045567D"/>
    <w:rsid w:val="00455E20"/>
    <w:rsid w:val="00455F0A"/>
    <w:rsid w:val="00456114"/>
    <w:rsid w:val="0045623E"/>
    <w:rsid w:val="00456971"/>
    <w:rsid w:val="00456AC7"/>
    <w:rsid w:val="004570F5"/>
    <w:rsid w:val="004572BA"/>
    <w:rsid w:val="0045742D"/>
    <w:rsid w:val="00457C5E"/>
    <w:rsid w:val="0046026D"/>
    <w:rsid w:val="0046027A"/>
    <w:rsid w:val="00460535"/>
    <w:rsid w:val="004605CC"/>
    <w:rsid w:val="0046072D"/>
    <w:rsid w:val="00460921"/>
    <w:rsid w:val="00460958"/>
    <w:rsid w:val="00460CF7"/>
    <w:rsid w:val="00460DF0"/>
    <w:rsid w:val="0046110A"/>
    <w:rsid w:val="004612C8"/>
    <w:rsid w:val="0046136B"/>
    <w:rsid w:val="004614A1"/>
    <w:rsid w:val="0046152A"/>
    <w:rsid w:val="0046164D"/>
    <w:rsid w:val="004616E5"/>
    <w:rsid w:val="004616FF"/>
    <w:rsid w:val="0046194F"/>
    <w:rsid w:val="00461C00"/>
    <w:rsid w:val="00461F68"/>
    <w:rsid w:val="004622A1"/>
    <w:rsid w:val="004622D0"/>
    <w:rsid w:val="00462420"/>
    <w:rsid w:val="0046260A"/>
    <w:rsid w:val="00462B09"/>
    <w:rsid w:val="00462B31"/>
    <w:rsid w:val="004630D5"/>
    <w:rsid w:val="00463337"/>
    <w:rsid w:val="00463448"/>
    <w:rsid w:val="004635F5"/>
    <w:rsid w:val="004636FA"/>
    <w:rsid w:val="0046400B"/>
    <w:rsid w:val="004641A0"/>
    <w:rsid w:val="0046434B"/>
    <w:rsid w:val="00464A82"/>
    <w:rsid w:val="00464EE0"/>
    <w:rsid w:val="00465158"/>
    <w:rsid w:val="00465180"/>
    <w:rsid w:val="00465235"/>
    <w:rsid w:val="00465467"/>
    <w:rsid w:val="00465573"/>
    <w:rsid w:val="00465EB3"/>
    <w:rsid w:val="00466022"/>
    <w:rsid w:val="00466709"/>
    <w:rsid w:val="004671E7"/>
    <w:rsid w:val="0047041E"/>
    <w:rsid w:val="00470628"/>
    <w:rsid w:val="00470750"/>
    <w:rsid w:val="00470893"/>
    <w:rsid w:val="00470A49"/>
    <w:rsid w:val="0047166D"/>
    <w:rsid w:val="00471856"/>
    <w:rsid w:val="00471DB0"/>
    <w:rsid w:val="00471FAB"/>
    <w:rsid w:val="0047253B"/>
    <w:rsid w:val="00472ACB"/>
    <w:rsid w:val="00472C6A"/>
    <w:rsid w:val="004734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440"/>
    <w:rsid w:val="00476549"/>
    <w:rsid w:val="00476D05"/>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70A"/>
    <w:rsid w:val="00483D11"/>
    <w:rsid w:val="00483D20"/>
    <w:rsid w:val="0048406D"/>
    <w:rsid w:val="00484704"/>
    <w:rsid w:val="00484C46"/>
    <w:rsid w:val="00484DC1"/>
    <w:rsid w:val="00485280"/>
    <w:rsid w:val="0048542B"/>
    <w:rsid w:val="004856EF"/>
    <w:rsid w:val="0048598C"/>
    <w:rsid w:val="00485998"/>
    <w:rsid w:val="00485A0B"/>
    <w:rsid w:val="00485E8A"/>
    <w:rsid w:val="004862DE"/>
    <w:rsid w:val="004864FB"/>
    <w:rsid w:val="004869B5"/>
    <w:rsid w:val="00487866"/>
    <w:rsid w:val="004879CD"/>
    <w:rsid w:val="00487CFB"/>
    <w:rsid w:val="00487F28"/>
    <w:rsid w:val="00490185"/>
    <w:rsid w:val="004903C3"/>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7F"/>
    <w:rsid w:val="00492C2F"/>
    <w:rsid w:val="0049349F"/>
    <w:rsid w:val="004935A4"/>
    <w:rsid w:val="004938AA"/>
    <w:rsid w:val="00493D08"/>
    <w:rsid w:val="00494329"/>
    <w:rsid w:val="004949D8"/>
    <w:rsid w:val="00494E75"/>
    <w:rsid w:val="00495071"/>
    <w:rsid w:val="004961DB"/>
    <w:rsid w:val="0049653E"/>
    <w:rsid w:val="00496BEF"/>
    <w:rsid w:val="00496DC2"/>
    <w:rsid w:val="00496E38"/>
    <w:rsid w:val="004973AF"/>
    <w:rsid w:val="00497C03"/>
    <w:rsid w:val="004A01E1"/>
    <w:rsid w:val="004A0BFB"/>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51A"/>
    <w:rsid w:val="004A366E"/>
    <w:rsid w:val="004A36C0"/>
    <w:rsid w:val="004A3AA3"/>
    <w:rsid w:val="004A3CB9"/>
    <w:rsid w:val="004A44AE"/>
    <w:rsid w:val="004A4625"/>
    <w:rsid w:val="004A4900"/>
    <w:rsid w:val="004A4D38"/>
    <w:rsid w:val="004A4E7E"/>
    <w:rsid w:val="004A4E95"/>
    <w:rsid w:val="004A4EB4"/>
    <w:rsid w:val="004A51FA"/>
    <w:rsid w:val="004A5270"/>
    <w:rsid w:val="004A57FC"/>
    <w:rsid w:val="004A5D36"/>
    <w:rsid w:val="004A6794"/>
    <w:rsid w:val="004A705C"/>
    <w:rsid w:val="004A7172"/>
    <w:rsid w:val="004A7276"/>
    <w:rsid w:val="004A746B"/>
    <w:rsid w:val="004A770C"/>
    <w:rsid w:val="004A7C0D"/>
    <w:rsid w:val="004A7EE7"/>
    <w:rsid w:val="004A7FB0"/>
    <w:rsid w:val="004B0706"/>
    <w:rsid w:val="004B0780"/>
    <w:rsid w:val="004B0787"/>
    <w:rsid w:val="004B0913"/>
    <w:rsid w:val="004B0FC4"/>
    <w:rsid w:val="004B1313"/>
    <w:rsid w:val="004B169E"/>
    <w:rsid w:val="004B19BB"/>
    <w:rsid w:val="004B1C42"/>
    <w:rsid w:val="004B235E"/>
    <w:rsid w:val="004B24DB"/>
    <w:rsid w:val="004B269E"/>
    <w:rsid w:val="004B2700"/>
    <w:rsid w:val="004B2B31"/>
    <w:rsid w:val="004B2BD3"/>
    <w:rsid w:val="004B2C33"/>
    <w:rsid w:val="004B2CDB"/>
    <w:rsid w:val="004B2DE8"/>
    <w:rsid w:val="004B2F6E"/>
    <w:rsid w:val="004B321F"/>
    <w:rsid w:val="004B3C3F"/>
    <w:rsid w:val="004B3F66"/>
    <w:rsid w:val="004B45A2"/>
    <w:rsid w:val="004B46C3"/>
    <w:rsid w:val="004B4789"/>
    <w:rsid w:val="004B4A0F"/>
    <w:rsid w:val="004B4F6B"/>
    <w:rsid w:val="004B50E0"/>
    <w:rsid w:val="004B50E8"/>
    <w:rsid w:val="004B55EC"/>
    <w:rsid w:val="004B6301"/>
    <w:rsid w:val="004B6FFB"/>
    <w:rsid w:val="004B7311"/>
    <w:rsid w:val="004B795F"/>
    <w:rsid w:val="004B7BA5"/>
    <w:rsid w:val="004C0346"/>
    <w:rsid w:val="004C0B5B"/>
    <w:rsid w:val="004C0B64"/>
    <w:rsid w:val="004C0B9A"/>
    <w:rsid w:val="004C0C5C"/>
    <w:rsid w:val="004C0F99"/>
    <w:rsid w:val="004C108A"/>
    <w:rsid w:val="004C130D"/>
    <w:rsid w:val="004C1624"/>
    <w:rsid w:val="004C18E0"/>
    <w:rsid w:val="004C19E4"/>
    <w:rsid w:val="004C2371"/>
    <w:rsid w:val="004C2F01"/>
    <w:rsid w:val="004C3472"/>
    <w:rsid w:val="004C34E8"/>
    <w:rsid w:val="004C3AD1"/>
    <w:rsid w:val="004C3C51"/>
    <w:rsid w:val="004C46FB"/>
    <w:rsid w:val="004C47FE"/>
    <w:rsid w:val="004C4B36"/>
    <w:rsid w:val="004C4BCE"/>
    <w:rsid w:val="004C4BF3"/>
    <w:rsid w:val="004C4F33"/>
    <w:rsid w:val="004C521E"/>
    <w:rsid w:val="004C5283"/>
    <w:rsid w:val="004C566C"/>
    <w:rsid w:val="004C5C44"/>
    <w:rsid w:val="004C5EF0"/>
    <w:rsid w:val="004C63D6"/>
    <w:rsid w:val="004C660B"/>
    <w:rsid w:val="004C6CD1"/>
    <w:rsid w:val="004C730E"/>
    <w:rsid w:val="004C766C"/>
    <w:rsid w:val="004C7739"/>
    <w:rsid w:val="004C7798"/>
    <w:rsid w:val="004C7BDF"/>
    <w:rsid w:val="004D018E"/>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BF"/>
    <w:rsid w:val="004D68C0"/>
    <w:rsid w:val="004D70E1"/>
    <w:rsid w:val="004D710C"/>
    <w:rsid w:val="004D7721"/>
    <w:rsid w:val="004E0033"/>
    <w:rsid w:val="004E00F1"/>
    <w:rsid w:val="004E03BE"/>
    <w:rsid w:val="004E071E"/>
    <w:rsid w:val="004E0CD0"/>
    <w:rsid w:val="004E1260"/>
    <w:rsid w:val="004E1A37"/>
    <w:rsid w:val="004E1CBB"/>
    <w:rsid w:val="004E1D07"/>
    <w:rsid w:val="004E209D"/>
    <w:rsid w:val="004E21D3"/>
    <w:rsid w:val="004E2298"/>
    <w:rsid w:val="004E29F9"/>
    <w:rsid w:val="004E2E33"/>
    <w:rsid w:val="004E2F51"/>
    <w:rsid w:val="004E3579"/>
    <w:rsid w:val="004E3892"/>
    <w:rsid w:val="004E3B0E"/>
    <w:rsid w:val="004E3FD8"/>
    <w:rsid w:val="004E467D"/>
    <w:rsid w:val="004E471C"/>
    <w:rsid w:val="004E4EF1"/>
    <w:rsid w:val="004E524E"/>
    <w:rsid w:val="004E53AE"/>
    <w:rsid w:val="004E5449"/>
    <w:rsid w:val="004E5710"/>
    <w:rsid w:val="004E5788"/>
    <w:rsid w:val="004E58D8"/>
    <w:rsid w:val="004E5C61"/>
    <w:rsid w:val="004E601C"/>
    <w:rsid w:val="004E604D"/>
    <w:rsid w:val="004E60AD"/>
    <w:rsid w:val="004E6158"/>
    <w:rsid w:val="004E6184"/>
    <w:rsid w:val="004E6463"/>
    <w:rsid w:val="004E6CEA"/>
    <w:rsid w:val="004E6DF0"/>
    <w:rsid w:val="004E6EAC"/>
    <w:rsid w:val="004E6F18"/>
    <w:rsid w:val="004E76A5"/>
    <w:rsid w:val="004E7B18"/>
    <w:rsid w:val="004E7B7F"/>
    <w:rsid w:val="004E7C85"/>
    <w:rsid w:val="004F01B4"/>
    <w:rsid w:val="004F020A"/>
    <w:rsid w:val="004F02AB"/>
    <w:rsid w:val="004F0485"/>
    <w:rsid w:val="004F0548"/>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368"/>
    <w:rsid w:val="004F359A"/>
    <w:rsid w:val="004F3DD1"/>
    <w:rsid w:val="004F4E53"/>
    <w:rsid w:val="004F547E"/>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D6D"/>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670"/>
    <w:rsid w:val="00504BF5"/>
    <w:rsid w:val="00504C4B"/>
    <w:rsid w:val="00504C77"/>
    <w:rsid w:val="00504CBB"/>
    <w:rsid w:val="00504D9B"/>
    <w:rsid w:val="00504F81"/>
    <w:rsid w:val="005050E7"/>
    <w:rsid w:val="00505365"/>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B5"/>
    <w:rsid w:val="005074C9"/>
    <w:rsid w:val="00507754"/>
    <w:rsid w:val="00507CAF"/>
    <w:rsid w:val="00510374"/>
    <w:rsid w:val="005103E6"/>
    <w:rsid w:val="00510444"/>
    <w:rsid w:val="00510626"/>
    <w:rsid w:val="005106CF"/>
    <w:rsid w:val="00510CE2"/>
    <w:rsid w:val="00511599"/>
    <w:rsid w:val="005119D6"/>
    <w:rsid w:val="00511A36"/>
    <w:rsid w:val="00511E67"/>
    <w:rsid w:val="00512747"/>
    <w:rsid w:val="00512A7B"/>
    <w:rsid w:val="00512D39"/>
    <w:rsid w:val="00513845"/>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0D9A"/>
    <w:rsid w:val="00521294"/>
    <w:rsid w:val="0052143F"/>
    <w:rsid w:val="00521D65"/>
    <w:rsid w:val="005221A4"/>
    <w:rsid w:val="00522F53"/>
    <w:rsid w:val="0052320A"/>
    <w:rsid w:val="00523366"/>
    <w:rsid w:val="0052381F"/>
    <w:rsid w:val="00523E18"/>
    <w:rsid w:val="00523F32"/>
    <w:rsid w:val="0052422C"/>
    <w:rsid w:val="005242C4"/>
    <w:rsid w:val="005244D5"/>
    <w:rsid w:val="00524AD1"/>
    <w:rsid w:val="00524AE9"/>
    <w:rsid w:val="00524E6A"/>
    <w:rsid w:val="005251DA"/>
    <w:rsid w:val="00525407"/>
    <w:rsid w:val="00525DF5"/>
    <w:rsid w:val="00525F71"/>
    <w:rsid w:val="00526270"/>
    <w:rsid w:val="005269C2"/>
    <w:rsid w:val="00526A5E"/>
    <w:rsid w:val="00526C8A"/>
    <w:rsid w:val="00526E39"/>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ED3"/>
    <w:rsid w:val="00533F4E"/>
    <w:rsid w:val="005347C7"/>
    <w:rsid w:val="005347FB"/>
    <w:rsid w:val="00534963"/>
    <w:rsid w:val="005349EB"/>
    <w:rsid w:val="00534AA6"/>
    <w:rsid w:val="00534C83"/>
    <w:rsid w:val="00534EE4"/>
    <w:rsid w:val="0053533A"/>
    <w:rsid w:val="00535933"/>
    <w:rsid w:val="00535A27"/>
    <w:rsid w:val="00535B60"/>
    <w:rsid w:val="00536195"/>
    <w:rsid w:val="00536AEE"/>
    <w:rsid w:val="00536D2F"/>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228D"/>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351"/>
    <w:rsid w:val="0055087F"/>
    <w:rsid w:val="0055088A"/>
    <w:rsid w:val="00550D6F"/>
    <w:rsid w:val="005511B1"/>
    <w:rsid w:val="00551248"/>
    <w:rsid w:val="00551483"/>
    <w:rsid w:val="00551593"/>
    <w:rsid w:val="00551E52"/>
    <w:rsid w:val="00552038"/>
    <w:rsid w:val="0055228D"/>
    <w:rsid w:val="00552300"/>
    <w:rsid w:val="0055233E"/>
    <w:rsid w:val="00552569"/>
    <w:rsid w:val="005528E1"/>
    <w:rsid w:val="00552E20"/>
    <w:rsid w:val="00552EA3"/>
    <w:rsid w:val="00552FF4"/>
    <w:rsid w:val="00553777"/>
    <w:rsid w:val="00553A48"/>
    <w:rsid w:val="00553ABB"/>
    <w:rsid w:val="0055410A"/>
    <w:rsid w:val="005546A4"/>
    <w:rsid w:val="005547CB"/>
    <w:rsid w:val="00554B9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1A1"/>
    <w:rsid w:val="00562757"/>
    <w:rsid w:val="005627C0"/>
    <w:rsid w:val="00562CDC"/>
    <w:rsid w:val="00563FD2"/>
    <w:rsid w:val="0056434D"/>
    <w:rsid w:val="00564597"/>
    <w:rsid w:val="00564EB9"/>
    <w:rsid w:val="00564ED1"/>
    <w:rsid w:val="005650CE"/>
    <w:rsid w:val="00565321"/>
    <w:rsid w:val="0056614F"/>
    <w:rsid w:val="00566C25"/>
    <w:rsid w:val="0056719E"/>
    <w:rsid w:val="00567658"/>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15D"/>
    <w:rsid w:val="005753CA"/>
    <w:rsid w:val="005753DB"/>
    <w:rsid w:val="005756BD"/>
    <w:rsid w:val="00575E09"/>
    <w:rsid w:val="005760C5"/>
    <w:rsid w:val="005766EA"/>
    <w:rsid w:val="00576903"/>
    <w:rsid w:val="00576A37"/>
    <w:rsid w:val="00577368"/>
    <w:rsid w:val="005773FF"/>
    <w:rsid w:val="00577540"/>
    <w:rsid w:val="005777AC"/>
    <w:rsid w:val="00577E83"/>
    <w:rsid w:val="00577EB4"/>
    <w:rsid w:val="00580F52"/>
    <w:rsid w:val="00581081"/>
    <w:rsid w:val="005813CA"/>
    <w:rsid w:val="005815D2"/>
    <w:rsid w:val="005818D4"/>
    <w:rsid w:val="005819D7"/>
    <w:rsid w:val="00581AB8"/>
    <w:rsid w:val="00581B69"/>
    <w:rsid w:val="00581C6E"/>
    <w:rsid w:val="00581F40"/>
    <w:rsid w:val="0058287D"/>
    <w:rsid w:val="005829CC"/>
    <w:rsid w:val="00582E3D"/>
    <w:rsid w:val="00583147"/>
    <w:rsid w:val="005836D0"/>
    <w:rsid w:val="00583B02"/>
    <w:rsid w:val="00583DEF"/>
    <w:rsid w:val="00583E78"/>
    <w:rsid w:val="00584028"/>
    <w:rsid w:val="00584496"/>
    <w:rsid w:val="005852AA"/>
    <w:rsid w:val="00585867"/>
    <w:rsid w:val="00585A55"/>
    <w:rsid w:val="00585C3A"/>
    <w:rsid w:val="00586013"/>
    <w:rsid w:val="0058628A"/>
    <w:rsid w:val="00586B34"/>
    <w:rsid w:val="00587117"/>
    <w:rsid w:val="0058759B"/>
    <w:rsid w:val="0058764D"/>
    <w:rsid w:val="00587D47"/>
    <w:rsid w:val="005909AD"/>
    <w:rsid w:val="00590BF6"/>
    <w:rsid w:val="00591A92"/>
    <w:rsid w:val="00591B9C"/>
    <w:rsid w:val="00591C29"/>
    <w:rsid w:val="00592160"/>
    <w:rsid w:val="005923C9"/>
    <w:rsid w:val="0059284F"/>
    <w:rsid w:val="00592D3C"/>
    <w:rsid w:val="00592E68"/>
    <w:rsid w:val="0059323A"/>
    <w:rsid w:val="00593447"/>
    <w:rsid w:val="00594131"/>
    <w:rsid w:val="005943C6"/>
    <w:rsid w:val="005946E2"/>
    <w:rsid w:val="0059476C"/>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52"/>
    <w:rsid w:val="005A049F"/>
    <w:rsid w:val="005A05C6"/>
    <w:rsid w:val="005A0753"/>
    <w:rsid w:val="005A0854"/>
    <w:rsid w:val="005A0CB6"/>
    <w:rsid w:val="005A0E88"/>
    <w:rsid w:val="005A0EFD"/>
    <w:rsid w:val="005A1242"/>
    <w:rsid w:val="005A14AD"/>
    <w:rsid w:val="005A18F9"/>
    <w:rsid w:val="005A1AA7"/>
    <w:rsid w:val="005A1B45"/>
    <w:rsid w:val="005A1BAF"/>
    <w:rsid w:val="005A1C03"/>
    <w:rsid w:val="005A1CC6"/>
    <w:rsid w:val="005A1FFC"/>
    <w:rsid w:val="005A2229"/>
    <w:rsid w:val="005A23BE"/>
    <w:rsid w:val="005A320D"/>
    <w:rsid w:val="005A36E3"/>
    <w:rsid w:val="005A3A31"/>
    <w:rsid w:val="005A3D77"/>
    <w:rsid w:val="005A416C"/>
    <w:rsid w:val="005A458F"/>
    <w:rsid w:val="005A588D"/>
    <w:rsid w:val="005A59CF"/>
    <w:rsid w:val="005A5D60"/>
    <w:rsid w:val="005A5FD7"/>
    <w:rsid w:val="005A6223"/>
    <w:rsid w:val="005A6A3A"/>
    <w:rsid w:val="005A6BC7"/>
    <w:rsid w:val="005A6E87"/>
    <w:rsid w:val="005A7F72"/>
    <w:rsid w:val="005B005D"/>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867"/>
    <w:rsid w:val="005B5A40"/>
    <w:rsid w:val="005B5A55"/>
    <w:rsid w:val="005B5FC4"/>
    <w:rsid w:val="005B63F6"/>
    <w:rsid w:val="005B6A78"/>
    <w:rsid w:val="005B6FAE"/>
    <w:rsid w:val="005B703E"/>
    <w:rsid w:val="005B7824"/>
    <w:rsid w:val="005B7A4C"/>
    <w:rsid w:val="005B7A5C"/>
    <w:rsid w:val="005C001C"/>
    <w:rsid w:val="005C01BD"/>
    <w:rsid w:val="005C0625"/>
    <w:rsid w:val="005C0904"/>
    <w:rsid w:val="005C0932"/>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458"/>
    <w:rsid w:val="005C5849"/>
    <w:rsid w:val="005C5A28"/>
    <w:rsid w:val="005C6222"/>
    <w:rsid w:val="005C6502"/>
    <w:rsid w:val="005C6B26"/>
    <w:rsid w:val="005C6F22"/>
    <w:rsid w:val="005C772B"/>
    <w:rsid w:val="005C7A54"/>
    <w:rsid w:val="005C7CAD"/>
    <w:rsid w:val="005C7CF2"/>
    <w:rsid w:val="005C7EF8"/>
    <w:rsid w:val="005D01D7"/>
    <w:rsid w:val="005D02FA"/>
    <w:rsid w:val="005D047B"/>
    <w:rsid w:val="005D0790"/>
    <w:rsid w:val="005D0D3E"/>
    <w:rsid w:val="005D17BF"/>
    <w:rsid w:val="005D17F9"/>
    <w:rsid w:val="005D18B1"/>
    <w:rsid w:val="005D20FC"/>
    <w:rsid w:val="005D24A2"/>
    <w:rsid w:val="005D2557"/>
    <w:rsid w:val="005D25D7"/>
    <w:rsid w:val="005D2A49"/>
    <w:rsid w:val="005D2B1D"/>
    <w:rsid w:val="005D2CB0"/>
    <w:rsid w:val="005D2EE8"/>
    <w:rsid w:val="005D3534"/>
    <w:rsid w:val="005D3707"/>
    <w:rsid w:val="005D382F"/>
    <w:rsid w:val="005D3AF0"/>
    <w:rsid w:val="005D3BFD"/>
    <w:rsid w:val="005D41EC"/>
    <w:rsid w:val="005D46E9"/>
    <w:rsid w:val="005D5012"/>
    <w:rsid w:val="005D5E46"/>
    <w:rsid w:val="005D609E"/>
    <w:rsid w:val="005D6331"/>
    <w:rsid w:val="005D64A5"/>
    <w:rsid w:val="005D6929"/>
    <w:rsid w:val="005D69D5"/>
    <w:rsid w:val="005D6AF9"/>
    <w:rsid w:val="005D6B30"/>
    <w:rsid w:val="005D6E1C"/>
    <w:rsid w:val="005D7458"/>
    <w:rsid w:val="005D747B"/>
    <w:rsid w:val="005D7539"/>
    <w:rsid w:val="005D76F4"/>
    <w:rsid w:val="005D7D06"/>
    <w:rsid w:val="005D7E04"/>
    <w:rsid w:val="005E0082"/>
    <w:rsid w:val="005E06E1"/>
    <w:rsid w:val="005E0899"/>
    <w:rsid w:val="005E1393"/>
    <w:rsid w:val="005E1411"/>
    <w:rsid w:val="005E15FB"/>
    <w:rsid w:val="005E18CE"/>
    <w:rsid w:val="005E2213"/>
    <w:rsid w:val="005E3035"/>
    <w:rsid w:val="005E35FD"/>
    <w:rsid w:val="005E383F"/>
    <w:rsid w:val="005E3B77"/>
    <w:rsid w:val="005E3DBD"/>
    <w:rsid w:val="005E3F5F"/>
    <w:rsid w:val="005E45D1"/>
    <w:rsid w:val="005E48F7"/>
    <w:rsid w:val="005E4CCB"/>
    <w:rsid w:val="005E4FBF"/>
    <w:rsid w:val="005E5379"/>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BD3"/>
    <w:rsid w:val="005F1FE4"/>
    <w:rsid w:val="005F2528"/>
    <w:rsid w:val="005F27D4"/>
    <w:rsid w:val="005F3671"/>
    <w:rsid w:val="005F369B"/>
    <w:rsid w:val="005F38C5"/>
    <w:rsid w:val="005F3955"/>
    <w:rsid w:val="005F3F7F"/>
    <w:rsid w:val="005F40E5"/>
    <w:rsid w:val="005F419B"/>
    <w:rsid w:val="005F4511"/>
    <w:rsid w:val="005F46D9"/>
    <w:rsid w:val="005F485F"/>
    <w:rsid w:val="005F4950"/>
    <w:rsid w:val="005F4D16"/>
    <w:rsid w:val="005F523F"/>
    <w:rsid w:val="005F5362"/>
    <w:rsid w:val="005F547B"/>
    <w:rsid w:val="005F556F"/>
    <w:rsid w:val="005F5C3D"/>
    <w:rsid w:val="005F660A"/>
    <w:rsid w:val="005F6697"/>
    <w:rsid w:val="005F66F7"/>
    <w:rsid w:val="005F69DD"/>
    <w:rsid w:val="005F6CA5"/>
    <w:rsid w:val="005F6EF0"/>
    <w:rsid w:val="005F6F60"/>
    <w:rsid w:val="005F6F9C"/>
    <w:rsid w:val="005F6FFC"/>
    <w:rsid w:val="005F767B"/>
    <w:rsid w:val="005F76BE"/>
    <w:rsid w:val="005F7AC8"/>
    <w:rsid w:val="005F7CC1"/>
    <w:rsid w:val="006004DE"/>
    <w:rsid w:val="00600771"/>
    <w:rsid w:val="00600AAB"/>
    <w:rsid w:val="00600B6C"/>
    <w:rsid w:val="00601072"/>
    <w:rsid w:val="00601097"/>
    <w:rsid w:val="0060144E"/>
    <w:rsid w:val="00601FCD"/>
    <w:rsid w:val="00602354"/>
    <w:rsid w:val="0060254B"/>
    <w:rsid w:val="0060268D"/>
    <w:rsid w:val="006027D5"/>
    <w:rsid w:val="0060305B"/>
    <w:rsid w:val="006039C5"/>
    <w:rsid w:val="00603B1B"/>
    <w:rsid w:val="00603DBD"/>
    <w:rsid w:val="006043D7"/>
    <w:rsid w:val="00604594"/>
    <w:rsid w:val="006046FB"/>
    <w:rsid w:val="00604708"/>
    <w:rsid w:val="00604CFF"/>
    <w:rsid w:val="00605399"/>
    <w:rsid w:val="006054EE"/>
    <w:rsid w:val="0060591D"/>
    <w:rsid w:val="006059EC"/>
    <w:rsid w:val="00605A02"/>
    <w:rsid w:val="00605A5D"/>
    <w:rsid w:val="00605B5D"/>
    <w:rsid w:val="006074B1"/>
    <w:rsid w:val="006075C7"/>
    <w:rsid w:val="00607ADE"/>
    <w:rsid w:val="00607E68"/>
    <w:rsid w:val="00610224"/>
    <w:rsid w:val="006102C6"/>
    <w:rsid w:val="006103F0"/>
    <w:rsid w:val="00610B78"/>
    <w:rsid w:val="006110B2"/>
    <w:rsid w:val="006113A9"/>
    <w:rsid w:val="00611C82"/>
    <w:rsid w:val="006120EC"/>
    <w:rsid w:val="006125DB"/>
    <w:rsid w:val="00612C73"/>
    <w:rsid w:val="00612E96"/>
    <w:rsid w:val="006133A2"/>
    <w:rsid w:val="006134CE"/>
    <w:rsid w:val="006138D8"/>
    <w:rsid w:val="00613A55"/>
    <w:rsid w:val="00613DB9"/>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1E2"/>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8A1"/>
    <w:rsid w:val="00621B6A"/>
    <w:rsid w:val="00621C0B"/>
    <w:rsid w:val="00621C72"/>
    <w:rsid w:val="00621CAD"/>
    <w:rsid w:val="0062203B"/>
    <w:rsid w:val="00622DCC"/>
    <w:rsid w:val="00623427"/>
    <w:rsid w:val="006234D3"/>
    <w:rsid w:val="00623AEB"/>
    <w:rsid w:val="00623E4E"/>
    <w:rsid w:val="006240DB"/>
    <w:rsid w:val="00624C2C"/>
    <w:rsid w:val="00624C6E"/>
    <w:rsid w:val="00624FB3"/>
    <w:rsid w:val="00624FF1"/>
    <w:rsid w:val="006254D3"/>
    <w:rsid w:val="0062587D"/>
    <w:rsid w:val="00625B24"/>
    <w:rsid w:val="0062602F"/>
    <w:rsid w:val="0062657C"/>
    <w:rsid w:val="00626A41"/>
    <w:rsid w:val="00626C25"/>
    <w:rsid w:val="00626E64"/>
    <w:rsid w:val="0062725A"/>
    <w:rsid w:val="0062776C"/>
    <w:rsid w:val="00627BA3"/>
    <w:rsid w:val="00627C39"/>
    <w:rsid w:val="00627E44"/>
    <w:rsid w:val="006300D7"/>
    <w:rsid w:val="00630333"/>
    <w:rsid w:val="00631007"/>
    <w:rsid w:val="00631826"/>
    <w:rsid w:val="0063208C"/>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25B"/>
    <w:rsid w:val="006346F1"/>
    <w:rsid w:val="006347F5"/>
    <w:rsid w:val="00634D10"/>
    <w:rsid w:val="006353D0"/>
    <w:rsid w:val="00635943"/>
    <w:rsid w:val="00635EDC"/>
    <w:rsid w:val="00635F56"/>
    <w:rsid w:val="00636094"/>
    <w:rsid w:val="0063633A"/>
    <w:rsid w:val="0063650D"/>
    <w:rsid w:val="00636A76"/>
    <w:rsid w:val="0063720A"/>
    <w:rsid w:val="006373C7"/>
    <w:rsid w:val="00637E00"/>
    <w:rsid w:val="006401C6"/>
    <w:rsid w:val="00640207"/>
    <w:rsid w:val="00640222"/>
    <w:rsid w:val="0064080A"/>
    <w:rsid w:val="006409F3"/>
    <w:rsid w:val="00640B73"/>
    <w:rsid w:val="00641061"/>
    <w:rsid w:val="006411DF"/>
    <w:rsid w:val="006419ED"/>
    <w:rsid w:val="006424E3"/>
    <w:rsid w:val="006427DE"/>
    <w:rsid w:val="00642D10"/>
    <w:rsid w:val="00642E65"/>
    <w:rsid w:val="00642E9F"/>
    <w:rsid w:val="006430D5"/>
    <w:rsid w:val="00643769"/>
    <w:rsid w:val="006437D5"/>
    <w:rsid w:val="00643891"/>
    <w:rsid w:val="00643DCD"/>
    <w:rsid w:val="00643DD1"/>
    <w:rsid w:val="00644200"/>
    <w:rsid w:val="0064428B"/>
    <w:rsid w:val="006443C6"/>
    <w:rsid w:val="00644511"/>
    <w:rsid w:val="0064486C"/>
    <w:rsid w:val="00644E60"/>
    <w:rsid w:val="00645190"/>
    <w:rsid w:val="00645ACC"/>
    <w:rsid w:val="0064615B"/>
    <w:rsid w:val="006466B5"/>
    <w:rsid w:val="006477A7"/>
    <w:rsid w:val="00647BB6"/>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273"/>
    <w:rsid w:val="00655780"/>
    <w:rsid w:val="0065594D"/>
    <w:rsid w:val="006561FF"/>
    <w:rsid w:val="00656D6F"/>
    <w:rsid w:val="00656FA1"/>
    <w:rsid w:val="00657005"/>
    <w:rsid w:val="006572FB"/>
    <w:rsid w:val="00657498"/>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10B"/>
    <w:rsid w:val="006725CC"/>
    <w:rsid w:val="0067273D"/>
    <w:rsid w:val="00672966"/>
    <w:rsid w:val="00672A48"/>
    <w:rsid w:val="00672E1F"/>
    <w:rsid w:val="00672F51"/>
    <w:rsid w:val="0067333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346"/>
    <w:rsid w:val="0068079C"/>
    <w:rsid w:val="00680A97"/>
    <w:rsid w:val="00680F30"/>
    <w:rsid w:val="00680F81"/>
    <w:rsid w:val="0068102D"/>
    <w:rsid w:val="00681254"/>
    <w:rsid w:val="00681307"/>
    <w:rsid w:val="00681F4E"/>
    <w:rsid w:val="006820C0"/>
    <w:rsid w:val="0068226B"/>
    <w:rsid w:val="00682ACE"/>
    <w:rsid w:val="00682E47"/>
    <w:rsid w:val="00682ED3"/>
    <w:rsid w:val="006839BA"/>
    <w:rsid w:val="00683D7F"/>
    <w:rsid w:val="00683E9E"/>
    <w:rsid w:val="00684258"/>
    <w:rsid w:val="006845C9"/>
    <w:rsid w:val="006853FF"/>
    <w:rsid w:val="00685646"/>
    <w:rsid w:val="00685725"/>
    <w:rsid w:val="00685834"/>
    <w:rsid w:val="00685D3B"/>
    <w:rsid w:val="00685DB7"/>
    <w:rsid w:val="0068623E"/>
    <w:rsid w:val="00686366"/>
    <w:rsid w:val="0068653A"/>
    <w:rsid w:val="006865A6"/>
    <w:rsid w:val="00686644"/>
    <w:rsid w:val="00686A14"/>
    <w:rsid w:val="00686FAD"/>
    <w:rsid w:val="0068721F"/>
    <w:rsid w:val="006878B2"/>
    <w:rsid w:val="00687A10"/>
    <w:rsid w:val="00690D12"/>
    <w:rsid w:val="00690F0E"/>
    <w:rsid w:val="006919C5"/>
    <w:rsid w:val="00692200"/>
    <w:rsid w:val="00692799"/>
    <w:rsid w:val="006927F0"/>
    <w:rsid w:val="00692982"/>
    <w:rsid w:val="00692A0D"/>
    <w:rsid w:val="00692BDC"/>
    <w:rsid w:val="00693077"/>
    <w:rsid w:val="00693295"/>
    <w:rsid w:val="00693529"/>
    <w:rsid w:val="006935E1"/>
    <w:rsid w:val="00693872"/>
    <w:rsid w:val="00693A5C"/>
    <w:rsid w:val="00693F0A"/>
    <w:rsid w:val="00694283"/>
    <w:rsid w:val="0069447C"/>
    <w:rsid w:val="006949AD"/>
    <w:rsid w:val="00694E1F"/>
    <w:rsid w:val="00696244"/>
    <w:rsid w:val="006969D6"/>
    <w:rsid w:val="00696B6A"/>
    <w:rsid w:val="00696DD1"/>
    <w:rsid w:val="0069755C"/>
    <w:rsid w:val="0069771A"/>
    <w:rsid w:val="006979DC"/>
    <w:rsid w:val="00697C2C"/>
    <w:rsid w:val="00697DCF"/>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0B2"/>
    <w:rsid w:val="006A3227"/>
    <w:rsid w:val="006A3396"/>
    <w:rsid w:val="006A3F94"/>
    <w:rsid w:val="006A40D0"/>
    <w:rsid w:val="006A4113"/>
    <w:rsid w:val="006A444A"/>
    <w:rsid w:val="006A49B5"/>
    <w:rsid w:val="006A4C6C"/>
    <w:rsid w:val="006A4F1A"/>
    <w:rsid w:val="006A4FF3"/>
    <w:rsid w:val="006A5985"/>
    <w:rsid w:val="006A5A45"/>
    <w:rsid w:val="006A5CA3"/>
    <w:rsid w:val="006A5D5C"/>
    <w:rsid w:val="006A5E26"/>
    <w:rsid w:val="006A5F67"/>
    <w:rsid w:val="006A6B3F"/>
    <w:rsid w:val="006A6B69"/>
    <w:rsid w:val="006A74C0"/>
    <w:rsid w:val="006A7574"/>
    <w:rsid w:val="006B0489"/>
    <w:rsid w:val="006B05F5"/>
    <w:rsid w:val="006B0A30"/>
    <w:rsid w:val="006B0FC1"/>
    <w:rsid w:val="006B1213"/>
    <w:rsid w:val="006B154B"/>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11A"/>
    <w:rsid w:val="006B6346"/>
    <w:rsid w:val="006B6AD0"/>
    <w:rsid w:val="006B6BA3"/>
    <w:rsid w:val="006B6C83"/>
    <w:rsid w:val="006B6C95"/>
    <w:rsid w:val="006B725C"/>
    <w:rsid w:val="006B7864"/>
    <w:rsid w:val="006C03B2"/>
    <w:rsid w:val="006C09DD"/>
    <w:rsid w:val="006C0B08"/>
    <w:rsid w:val="006C0E0B"/>
    <w:rsid w:val="006C1142"/>
    <w:rsid w:val="006C1A29"/>
    <w:rsid w:val="006C1B3F"/>
    <w:rsid w:val="006C1F77"/>
    <w:rsid w:val="006C22BD"/>
    <w:rsid w:val="006C2604"/>
    <w:rsid w:val="006C3309"/>
    <w:rsid w:val="006C375B"/>
    <w:rsid w:val="006C3B2C"/>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E98"/>
    <w:rsid w:val="006D1F1A"/>
    <w:rsid w:val="006D2039"/>
    <w:rsid w:val="006D21FF"/>
    <w:rsid w:val="006D31AF"/>
    <w:rsid w:val="006D31DD"/>
    <w:rsid w:val="006D3502"/>
    <w:rsid w:val="006D35CD"/>
    <w:rsid w:val="006D3CC3"/>
    <w:rsid w:val="006D3D01"/>
    <w:rsid w:val="006D4133"/>
    <w:rsid w:val="006D4373"/>
    <w:rsid w:val="006D47A9"/>
    <w:rsid w:val="006D492A"/>
    <w:rsid w:val="006D493C"/>
    <w:rsid w:val="006D5457"/>
    <w:rsid w:val="006D56B0"/>
    <w:rsid w:val="006D59BF"/>
    <w:rsid w:val="006D5A62"/>
    <w:rsid w:val="006D5EC2"/>
    <w:rsid w:val="006D5FEF"/>
    <w:rsid w:val="006D667A"/>
    <w:rsid w:val="006D70CF"/>
    <w:rsid w:val="006D72E1"/>
    <w:rsid w:val="006D74C9"/>
    <w:rsid w:val="006D7598"/>
    <w:rsid w:val="006D7B93"/>
    <w:rsid w:val="006D7BBD"/>
    <w:rsid w:val="006D7C30"/>
    <w:rsid w:val="006D7D69"/>
    <w:rsid w:val="006D7DAD"/>
    <w:rsid w:val="006D7EC6"/>
    <w:rsid w:val="006E0113"/>
    <w:rsid w:val="006E0566"/>
    <w:rsid w:val="006E0B16"/>
    <w:rsid w:val="006E1135"/>
    <w:rsid w:val="006E1469"/>
    <w:rsid w:val="006E176F"/>
    <w:rsid w:val="006E1C34"/>
    <w:rsid w:val="006E1E45"/>
    <w:rsid w:val="006E22CC"/>
    <w:rsid w:val="006E3D3A"/>
    <w:rsid w:val="006E3EA2"/>
    <w:rsid w:val="006E4646"/>
    <w:rsid w:val="006E512D"/>
    <w:rsid w:val="006E5477"/>
    <w:rsid w:val="006E554E"/>
    <w:rsid w:val="006E5AFE"/>
    <w:rsid w:val="006E696A"/>
    <w:rsid w:val="006E6C33"/>
    <w:rsid w:val="006E6F03"/>
    <w:rsid w:val="006E71A8"/>
    <w:rsid w:val="006E7496"/>
    <w:rsid w:val="006E7883"/>
    <w:rsid w:val="006E7969"/>
    <w:rsid w:val="006E7C05"/>
    <w:rsid w:val="006E7E49"/>
    <w:rsid w:val="006E7F71"/>
    <w:rsid w:val="006F0209"/>
    <w:rsid w:val="006F05C2"/>
    <w:rsid w:val="006F090B"/>
    <w:rsid w:val="006F0C12"/>
    <w:rsid w:val="006F0DB2"/>
    <w:rsid w:val="006F0E38"/>
    <w:rsid w:val="006F0EB1"/>
    <w:rsid w:val="006F13B3"/>
    <w:rsid w:val="006F1D86"/>
    <w:rsid w:val="006F1E30"/>
    <w:rsid w:val="006F20A6"/>
    <w:rsid w:val="006F20A7"/>
    <w:rsid w:val="006F291E"/>
    <w:rsid w:val="006F3052"/>
    <w:rsid w:val="006F314D"/>
    <w:rsid w:val="006F3B01"/>
    <w:rsid w:val="006F3C66"/>
    <w:rsid w:val="006F4189"/>
    <w:rsid w:val="006F42A4"/>
    <w:rsid w:val="006F468E"/>
    <w:rsid w:val="006F52C0"/>
    <w:rsid w:val="006F557B"/>
    <w:rsid w:val="006F5674"/>
    <w:rsid w:val="006F5B41"/>
    <w:rsid w:val="006F6689"/>
    <w:rsid w:val="006F6740"/>
    <w:rsid w:val="006F6FEA"/>
    <w:rsid w:val="006F70E1"/>
    <w:rsid w:val="006F7427"/>
    <w:rsid w:val="006F746D"/>
    <w:rsid w:val="006F77F9"/>
    <w:rsid w:val="006F7A6B"/>
    <w:rsid w:val="006F7A92"/>
    <w:rsid w:val="006F7E42"/>
    <w:rsid w:val="00700042"/>
    <w:rsid w:val="0070013F"/>
    <w:rsid w:val="0070023A"/>
    <w:rsid w:val="00700531"/>
    <w:rsid w:val="0070063F"/>
    <w:rsid w:val="0070124B"/>
    <w:rsid w:val="00701405"/>
    <w:rsid w:val="007017EA"/>
    <w:rsid w:val="0070181F"/>
    <w:rsid w:val="0070193E"/>
    <w:rsid w:val="00701B27"/>
    <w:rsid w:val="00701F97"/>
    <w:rsid w:val="007022D3"/>
    <w:rsid w:val="00702711"/>
    <w:rsid w:val="0070285B"/>
    <w:rsid w:val="00702B1A"/>
    <w:rsid w:val="007032E6"/>
    <w:rsid w:val="007036E5"/>
    <w:rsid w:val="00703D8A"/>
    <w:rsid w:val="00704123"/>
    <w:rsid w:val="00704641"/>
    <w:rsid w:val="007047A7"/>
    <w:rsid w:val="007047FA"/>
    <w:rsid w:val="007050A6"/>
    <w:rsid w:val="007056ED"/>
    <w:rsid w:val="00705BD7"/>
    <w:rsid w:val="00705D28"/>
    <w:rsid w:val="00706AC2"/>
    <w:rsid w:val="007072C8"/>
    <w:rsid w:val="0070743B"/>
    <w:rsid w:val="0070777B"/>
    <w:rsid w:val="00707CC2"/>
    <w:rsid w:val="00707EC9"/>
    <w:rsid w:val="007101EE"/>
    <w:rsid w:val="00710994"/>
    <w:rsid w:val="007109CD"/>
    <w:rsid w:val="00710A3E"/>
    <w:rsid w:val="00710D33"/>
    <w:rsid w:val="00710FBE"/>
    <w:rsid w:val="0071127B"/>
    <w:rsid w:val="00711760"/>
    <w:rsid w:val="00711797"/>
    <w:rsid w:val="007117AA"/>
    <w:rsid w:val="0071181D"/>
    <w:rsid w:val="0071196B"/>
    <w:rsid w:val="00711A0F"/>
    <w:rsid w:val="00711AE4"/>
    <w:rsid w:val="00711B30"/>
    <w:rsid w:val="00711D10"/>
    <w:rsid w:val="00711D73"/>
    <w:rsid w:val="00711E68"/>
    <w:rsid w:val="00712202"/>
    <w:rsid w:val="007124B9"/>
    <w:rsid w:val="00712A0F"/>
    <w:rsid w:val="00712FDB"/>
    <w:rsid w:val="00713067"/>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0C24"/>
    <w:rsid w:val="007215A9"/>
    <w:rsid w:val="0072190B"/>
    <w:rsid w:val="00721CB7"/>
    <w:rsid w:val="00721DB3"/>
    <w:rsid w:val="00721E1D"/>
    <w:rsid w:val="00722260"/>
    <w:rsid w:val="00722809"/>
    <w:rsid w:val="0072298B"/>
    <w:rsid w:val="00722B72"/>
    <w:rsid w:val="00722BD3"/>
    <w:rsid w:val="00722F80"/>
    <w:rsid w:val="00723099"/>
    <w:rsid w:val="007233B6"/>
    <w:rsid w:val="0072350B"/>
    <w:rsid w:val="007238F1"/>
    <w:rsid w:val="00724205"/>
    <w:rsid w:val="00724426"/>
    <w:rsid w:val="00724437"/>
    <w:rsid w:val="007244BA"/>
    <w:rsid w:val="007245F9"/>
    <w:rsid w:val="0072461A"/>
    <w:rsid w:val="00724D60"/>
    <w:rsid w:val="00724FCF"/>
    <w:rsid w:val="00725068"/>
    <w:rsid w:val="0072510B"/>
    <w:rsid w:val="0072560E"/>
    <w:rsid w:val="00725879"/>
    <w:rsid w:val="00725CB6"/>
    <w:rsid w:val="00725CDC"/>
    <w:rsid w:val="007261C5"/>
    <w:rsid w:val="00726281"/>
    <w:rsid w:val="0072650B"/>
    <w:rsid w:val="00726537"/>
    <w:rsid w:val="0072665F"/>
    <w:rsid w:val="007273EC"/>
    <w:rsid w:val="007279F1"/>
    <w:rsid w:val="00727E9F"/>
    <w:rsid w:val="00730BCB"/>
    <w:rsid w:val="00730F0F"/>
    <w:rsid w:val="0073128B"/>
    <w:rsid w:val="0073150C"/>
    <w:rsid w:val="0073171A"/>
    <w:rsid w:val="007325D3"/>
    <w:rsid w:val="00732885"/>
    <w:rsid w:val="00732C7F"/>
    <w:rsid w:val="00733858"/>
    <w:rsid w:val="00733A80"/>
    <w:rsid w:val="00734310"/>
    <w:rsid w:val="0073487C"/>
    <w:rsid w:val="0073497A"/>
    <w:rsid w:val="00734FE4"/>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9CA"/>
    <w:rsid w:val="00742A51"/>
    <w:rsid w:val="00743468"/>
    <w:rsid w:val="007435B1"/>
    <w:rsid w:val="007436B1"/>
    <w:rsid w:val="007436D5"/>
    <w:rsid w:val="00743867"/>
    <w:rsid w:val="00743C10"/>
    <w:rsid w:val="00744055"/>
    <w:rsid w:val="0074443A"/>
    <w:rsid w:val="0074462D"/>
    <w:rsid w:val="0074475B"/>
    <w:rsid w:val="00744E4F"/>
    <w:rsid w:val="00744E5D"/>
    <w:rsid w:val="0074544C"/>
    <w:rsid w:val="0074576E"/>
    <w:rsid w:val="0074587B"/>
    <w:rsid w:val="007458E7"/>
    <w:rsid w:val="00745EBB"/>
    <w:rsid w:val="00746167"/>
    <w:rsid w:val="00746199"/>
    <w:rsid w:val="00746D90"/>
    <w:rsid w:val="00747446"/>
    <w:rsid w:val="007475BE"/>
    <w:rsid w:val="00747A99"/>
    <w:rsid w:val="00747BD8"/>
    <w:rsid w:val="00747F05"/>
    <w:rsid w:val="0075038A"/>
    <w:rsid w:val="007503B7"/>
    <w:rsid w:val="007503D8"/>
    <w:rsid w:val="007505B8"/>
    <w:rsid w:val="0075076E"/>
    <w:rsid w:val="007509F9"/>
    <w:rsid w:val="00750ACC"/>
    <w:rsid w:val="00751B32"/>
    <w:rsid w:val="00751F76"/>
    <w:rsid w:val="00751FD1"/>
    <w:rsid w:val="00752497"/>
    <w:rsid w:val="007524E2"/>
    <w:rsid w:val="007528CF"/>
    <w:rsid w:val="00752FE7"/>
    <w:rsid w:val="00753F01"/>
    <w:rsid w:val="0075412E"/>
    <w:rsid w:val="007545E6"/>
    <w:rsid w:val="00754747"/>
    <w:rsid w:val="00754C1A"/>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C4C"/>
    <w:rsid w:val="00760D79"/>
    <w:rsid w:val="0076116A"/>
    <w:rsid w:val="007613AF"/>
    <w:rsid w:val="0076145C"/>
    <w:rsid w:val="007619FB"/>
    <w:rsid w:val="00761A37"/>
    <w:rsid w:val="00761E3C"/>
    <w:rsid w:val="0076200C"/>
    <w:rsid w:val="00762924"/>
    <w:rsid w:val="0076295C"/>
    <w:rsid w:val="00762FA7"/>
    <w:rsid w:val="00763055"/>
    <w:rsid w:val="00763432"/>
    <w:rsid w:val="00763448"/>
    <w:rsid w:val="00763EB7"/>
    <w:rsid w:val="00764043"/>
    <w:rsid w:val="00764801"/>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6F2"/>
    <w:rsid w:val="007728F4"/>
    <w:rsid w:val="00772D15"/>
    <w:rsid w:val="00772DC3"/>
    <w:rsid w:val="007733C4"/>
    <w:rsid w:val="00773EC7"/>
    <w:rsid w:val="0077404A"/>
    <w:rsid w:val="007743A1"/>
    <w:rsid w:val="007744EF"/>
    <w:rsid w:val="00775662"/>
    <w:rsid w:val="0077594D"/>
    <w:rsid w:val="00775BAA"/>
    <w:rsid w:val="00775C35"/>
    <w:rsid w:val="00775EFD"/>
    <w:rsid w:val="00775F11"/>
    <w:rsid w:val="00776351"/>
    <w:rsid w:val="00776679"/>
    <w:rsid w:val="007768F2"/>
    <w:rsid w:val="00776C10"/>
    <w:rsid w:val="00776E9E"/>
    <w:rsid w:val="00776F98"/>
    <w:rsid w:val="00777053"/>
    <w:rsid w:val="007775DE"/>
    <w:rsid w:val="00777A30"/>
    <w:rsid w:val="00777A4B"/>
    <w:rsid w:val="00777B46"/>
    <w:rsid w:val="00777EE9"/>
    <w:rsid w:val="00780980"/>
    <w:rsid w:val="007809E1"/>
    <w:rsid w:val="00780A03"/>
    <w:rsid w:val="00780AF4"/>
    <w:rsid w:val="00780F3D"/>
    <w:rsid w:val="0078146E"/>
    <w:rsid w:val="00781494"/>
    <w:rsid w:val="0078165E"/>
    <w:rsid w:val="007816FD"/>
    <w:rsid w:val="00781B9A"/>
    <w:rsid w:val="00781BC7"/>
    <w:rsid w:val="00781DAD"/>
    <w:rsid w:val="00782188"/>
    <w:rsid w:val="0078243D"/>
    <w:rsid w:val="00782A37"/>
    <w:rsid w:val="00782D8A"/>
    <w:rsid w:val="007833C3"/>
    <w:rsid w:val="007837BE"/>
    <w:rsid w:val="0078380D"/>
    <w:rsid w:val="00784112"/>
    <w:rsid w:val="007842FE"/>
    <w:rsid w:val="0078440C"/>
    <w:rsid w:val="00784702"/>
    <w:rsid w:val="00784C31"/>
    <w:rsid w:val="00784D48"/>
    <w:rsid w:val="00784E91"/>
    <w:rsid w:val="00784EA1"/>
    <w:rsid w:val="00784ECF"/>
    <w:rsid w:val="00784FC7"/>
    <w:rsid w:val="007859E1"/>
    <w:rsid w:val="00785AF5"/>
    <w:rsid w:val="0078618F"/>
    <w:rsid w:val="007861D1"/>
    <w:rsid w:val="00786272"/>
    <w:rsid w:val="007864B2"/>
    <w:rsid w:val="007864F6"/>
    <w:rsid w:val="00786620"/>
    <w:rsid w:val="0078681A"/>
    <w:rsid w:val="007868B7"/>
    <w:rsid w:val="00786BC0"/>
    <w:rsid w:val="00786E22"/>
    <w:rsid w:val="007875E7"/>
    <w:rsid w:val="00787736"/>
    <w:rsid w:val="00787A55"/>
    <w:rsid w:val="00787FF1"/>
    <w:rsid w:val="0079032C"/>
    <w:rsid w:val="00790865"/>
    <w:rsid w:val="00791190"/>
    <w:rsid w:val="007916D2"/>
    <w:rsid w:val="00791866"/>
    <w:rsid w:val="00791ADE"/>
    <w:rsid w:val="00791BE9"/>
    <w:rsid w:val="00791BEA"/>
    <w:rsid w:val="007926B7"/>
    <w:rsid w:val="00792878"/>
    <w:rsid w:val="00792AD3"/>
    <w:rsid w:val="00792BEC"/>
    <w:rsid w:val="00792ECC"/>
    <w:rsid w:val="00793319"/>
    <w:rsid w:val="00793774"/>
    <w:rsid w:val="00793901"/>
    <w:rsid w:val="007939C7"/>
    <w:rsid w:val="00793F70"/>
    <w:rsid w:val="007947FB"/>
    <w:rsid w:val="00794DFE"/>
    <w:rsid w:val="007954AC"/>
    <w:rsid w:val="00795804"/>
    <w:rsid w:val="00795809"/>
    <w:rsid w:val="00795BA6"/>
    <w:rsid w:val="0079601B"/>
    <w:rsid w:val="007962E1"/>
    <w:rsid w:val="0079667C"/>
    <w:rsid w:val="00796B15"/>
    <w:rsid w:val="007977CE"/>
    <w:rsid w:val="00797974"/>
    <w:rsid w:val="00797DAA"/>
    <w:rsid w:val="00797FCF"/>
    <w:rsid w:val="007A0616"/>
    <w:rsid w:val="007A0BDA"/>
    <w:rsid w:val="007A0CDD"/>
    <w:rsid w:val="007A0D0D"/>
    <w:rsid w:val="007A0DAC"/>
    <w:rsid w:val="007A1189"/>
    <w:rsid w:val="007A15BA"/>
    <w:rsid w:val="007A16E9"/>
    <w:rsid w:val="007A1B63"/>
    <w:rsid w:val="007A22D6"/>
    <w:rsid w:val="007A238B"/>
    <w:rsid w:val="007A2BFF"/>
    <w:rsid w:val="007A2D56"/>
    <w:rsid w:val="007A3226"/>
    <w:rsid w:val="007A32E9"/>
    <w:rsid w:val="007A3395"/>
    <w:rsid w:val="007A3505"/>
    <w:rsid w:val="007A3BF2"/>
    <w:rsid w:val="007A4338"/>
    <w:rsid w:val="007A4AF1"/>
    <w:rsid w:val="007A4BD0"/>
    <w:rsid w:val="007A5288"/>
    <w:rsid w:val="007A5639"/>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1FCE"/>
    <w:rsid w:val="007B2074"/>
    <w:rsid w:val="007B21FA"/>
    <w:rsid w:val="007B2638"/>
    <w:rsid w:val="007B2BB1"/>
    <w:rsid w:val="007B3476"/>
    <w:rsid w:val="007B448A"/>
    <w:rsid w:val="007B44DC"/>
    <w:rsid w:val="007B4543"/>
    <w:rsid w:val="007B4937"/>
    <w:rsid w:val="007B4D3D"/>
    <w:rsid w:val="007B550D"/>
    <w:rsid w:val="007B56F0"/>
    <w:rsid w:val="007B5A66"/>
    <w:rsid w:val="007B630D"/>
    <w:rsid w:val="007B645F"/>
    <w:rsid w:val="007B6B0D"/>
    <w:rsid w:val="007B77FB"/>
    <w:rsid w:val="007B7D50"/>
    <w:rsid w:val="007B7D58"/>
    <w:rsid w:val="007B7E59"/>
    <w:rsid w:val="007C0880"/>
    <w:rsid w:val="007C0AE5"/>
    <w:rsid w:val="007C0BD2"/>
    <w:rsid w:val="007C0F3A"/>
    <w:rsid w:val="007C0FA1"/>
    <w:rsid w:val="007C1065"/>
    <w:rsid w:val="007C14BD"/>
    <w:rsid w:val="007C1537"/>
    <w:rsid w:val="007C15C1"/>
    <w:rsid w:val="007C198E"/>
    <w:rsid w:val="007C1B94"/>
    <w:rsid w:val="007C1C90"/>
    <w:rsid w:val="007C22E6"/>
    <w:rsid w:val="007C24DB"/>
    <w:rsid w:val="007C26FF"/>
    <w:rsid w:val="007C2A39"/>
    <w:rsid w:val="007C2AAF"/>
    <w:rsid w:val="007C2AF9"/>
    <w:rsid w:val="007C301B"/>
    <w:rsid w:val="007C3C91"/>
    <w:rsid w:val="007C3D88"/>
    <w:rsid w:val="007C3EE5"/>
    <w:rsid w:val="007C3F14"/>
    <w:rsid w:val="007C403F"/>
    <w:rsid w:val="007C450E"/>
    <w:rsid w:val="007C46E3"/>
    <w:rsid w:val="007C508D"/>
    <w:rsid w:val="007C515A"/>
    <w:rsid w:val="007C52ED"/>
    <w:rsid w:val="007C52F0"/>
    <w:rsid w:val="007C56CE"/>
    <w:rsid w:val="007C5C75"/>
    <w:rsid w:val="007C5CE6"/>
    <w:rsid w:val="007C5DB6"/>
    <w:rsid w:val="007C64BC"/>
    <w:rsid w:val="007C67D6"/>
    <w:rsid w:val="007C6939"/>
    <w:rsid w:val="007C6941"/>
    <w:rsid w:val="007C6D8A"/>
    <w:rsid w:val="007C6E75"/>
    <w:rsid w:val="007C7367"/>
    <w:rsid w:val="007C7578"/>
    <w:rsid w:val="007C779D"/>
    <w:rsid w:val="007C7EF3"/>
    <w:rsid w:val="007D020B"/>
    <w:rsid w:val="007D02A6"/>
    <w:rsid w:val="007D0640"/>
    <w:rsid w:val="007D0645"/>
    <w:rsid w:val="007D098C"/>
    <w:rsid w:val="007D11B6"/>
    <w:rsid w:val="007D149C"/>
    <w:rsid w:val="007D163B"/>
    <w:rsid w:val="007D1B2B"/>
    <w:rsid w:val="007D1B7C"/>
    <w:rsid w:val="007D214A"/>
    <w:rsid w:val="007D2C03"/>
    <w:rsid w:val="007D357E"/>
    <w:rsid w:val="007D3889"/>
    <w:rsid w:val="007D39D7"/>
    <w:rsid w:val="007D3A2F"/>
    <w:rsid w:val="007D478D"/>
    <w:rsid w:val="007D4838"/>
    <w:rsid w:val="007D4940"/>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D7E90"/>
    <w:rsid w:val="007E0162"/>
    <w:rsid w:val="007E052D"/>
    <w:rsid w:val="007E05CC"/>
    <w:rsid w:val="007E08F5"/>
    <w:rsid w:val="007E0986"/>
    <w:rsid w:val="007E0C8C"/>
    <w:rsid w:val="007E0DBF"/>
    <w:rsid w:val="007E0E84"/>
    <w:rsid w:val="007E1479"/>
    <w:rsid w:val="007E16A6"/>
    <w:rsid w:val="007E178E"/>
    <w:rsid w:val="007E1A55"/>
    <w:rsid w:val="007E1CB1"/>
    <w:rsid w:val="007E1EBF"/>
    <w:rsid w:val="007E1FA7"/>
    <w:rsid w:val="007E201B"/>
    <w:rsid w:val="007E2146"/>
    <w:rsid w:val="007E2484"/>
    <w:rsid w:val="007E2B64"/>
    <w:rsid w:val="007E2B9D"/>
    <w:rsid w:val="007E311B"/>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507"/>
    <w:rsid w:val="007F3960"/>
    <w:rsid w:val="007F3F4E"/>
    <w:rsid w:val="007F3FB0"/>
    <w:rsid w:val="007F42D5"/>
    <w:rsid w:val="007F43A9"/>
    <w:rsid w:val="007F43E8"/>
    <w:rsid w:val="007F4FEA"/>
    <w:rsid w:val="007F54CD"/>
    <w:rsid w:val="007F5605"/>
    <w:rsid w:val="007F5608"/>
    <w:rsid w:val="007F5874"/>
    <w:rsid w:val="007F5D4A"/>
    <w:rsid w:val="007F6020"/>
    <w:rsid w:val="007F6562"/>
    <w:rsid w:val="007F65F2"/>
    <w:rsid w:val="007F6772"/>
    <w:rsid w:val="007F6AD2"/>
    <w:rsid w:val="007F702D"/>
    <w:rsid w:val="007F70D6"/>
    <w:rsid w:val="007F7237"/>
    <w:rsid w:val="007F7723"/>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30D"/>
    <w:rsid w:val="00802410"/>
    <w:rsid w:val="0080270F"/>
    <w:rsid w:val="00802B69"/>
    <w:rsid w:val="00802FDA"/>
    <w:rsid w:val="00803160"/>
    <w:rsid w:val="008036F8"/>
    <w:rsid w:val="00803905"/>
    <w:rsid w:val="0080397E"/>
    <w:rsid w:val="00803E2E"/>
    <w:rsid w:val="00803FD6"/>
    <w:rsid w:val="008041E1"/>
    <w:rsid w:val="00804867"/>
    <w:rsid w:val="00804B2F"/>
    <w:rsid w:val="00804B56"/>
    <w:rsid w:val="00804ECF"/>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07F6F"/>
    <w:rsid w:val="008100D3"/>
    <w:rsid w:val="0081012C"/>
    <w:rsid w:val="008103E8"/>
    <w:rsid w:val="00810DE9"/>
    <w:rsid w:val="00810EAE"/>
    <w:rsid w:val="00811036"/>
    <w:rsid w:val="0081197B"/>
    <w:rsid w:val="00812027"/>
    <w:rsid w:val="008123D5"/>
    <w:rsid w:val="008124FE"/>
    <w:rsid w:val="008127B0"/>
    <w:rsid w:val="00812FE3"/>
    <w:rsid w:val="0081362C"/>
    <w:rsid w:val="00813CE0"/>
    <w:rsid w:val="00814072"/>
    <w:rsid w:val="0081412D"/>
    <w:rsid w:val="008142CD"/>
    <w:rsid w:val="0081433F"/>
    <w:rsid w:val="00814500"/>
    <w:rsid w:val="008145DC"/>
    <w:rsid w:val="00814B38"/>
    <w:rsid w:val="00814B65"/>
    <w:rsid w:val="00814BD6"/>
    <w:rsid w:val="00814D2B"/>
    <w:rsid w:val="00814E13"/>
    <w:rsid w:val="008151F0"/>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58C"/>
    <w:rsid w:val="008216E2"/>
    <w:rsid w:val="0082172C"/>
    <w:rsid w:val="00821773"/>
    <w:rsid w:val="008219C7"/>
    <w:rsid w:val="00821A22"/>
    <w:rsid w:val="00821DC0"/>
    <w:rsid w:val="00822131"/>
    <w:rsid w:val="008232FF"/>
    <w:rsid w:val="00823335"/>
    <w:rsid w:val="008234CB"/>
    <w:rsid w:val="008235E4"/>
    <w:rsid w:val="008237B2"/>
    <w:rsid w:val="00823B2A"/>
    <w:rsid w:val="00823F61"/>
    <w:rsid w:val="008241F2"/>
    <w:rsid w:val="0082449E"/>
    <w:rsid w:val="008247A4"/>
    <w:rsid w:val="008249FF"/>
    <w:rsid w:val="008251EC"/>
    <w:rsid w:val="00825247"/>
    <w:rsid w:val="00825511"/>
    <w:rsid w:val="00825599"/>
    <w:rsid w:val="00825693"/>
    <w:rsid w:val="00825EEF"/>
    <w:rsid w:val="00826204"/>
    <w:rsid w:val="008263E0"/>
    <w:rsid w:val="00826D90"/>
    <w:rsid w:val="00826F26"/>
    <w:rsid w:val="00827015"/>
    <w:rsid w:val="00827109"/>
    <w:rsid w:val="008272E9"/>
    <w:rsid w:val="00827A41"/>
    <w:rsid w:val="00827AF3"/>
    <w:rsid w:val="00830DD5"/>
    <w:rsid w:val="008312D0"/>
    <w:rsid w:val="0083179C"/>
    <w:rsid w:val="00832142"/>
    <w:rsid w:val="00832C18"/>
    <w:rsid w:val="00832CAF"/>
    <w:rsid w:val="0083311A"/>
    <w:rsid w:val="008331BB"/>
    <w:rsid w:val="008333BB"/>
    <w:rsid w:val="00833D14"/>
    <w:rsid w:val="0083417A"/>
    <w:rsid w:val="00834512"/>
    <w:rsid w:val="008349E7"/>
    <w:rsid w:val="0083502E"/>
    <w:rsid w:val="008350E9"/>
    <w:rsid w:val="008356AA"/>
    <w:rsid w:val="00835A6E"/>
    <w:rsid w:val="00835B82"/>
    <w:rsid w:val="00836133"/>
    <w:rsid w:val="0083657B"/>
    <w:rsid w:val="00836916"/>
    <w:rsid w:val="00836B5B"/>
    <w:rsid w:val="0083768C"/>
    <w:rsid w:val="00837E87"/>
    <w:rsid w:val="008400F9"/>
    <w:rsid w:val="008401C3"/>
    <w:rsid w:val="008404D7"/>
    <w:rsid w:val="00840634"/>
    <w:rsid w:val="00840A68"/>
    <w:rsid w:val="00840A83"/>
    <w:rsid w:val="00840D46"/>
    <w:rsid w:val="00841547"/>
    <w:rsid w:val="00841573"/>
    <w:rsid w:val="0084166C"/>
    <w:rsid w:val="008419A1"/>
    <w:rsid w:val="00841EE6"/>
    <w:rsid w:val="00841FA0"/>
    <w:rsid w:val="00842061"/>
    <w:rsid w:val="0084239E"/>
    <w:rsid w:val="008425B6"/>
    <w:rsid w:val="0084296C"/>
    <w:rsid w:val="00842B49"/>
    <w:rsid w:val="00842DB7"/>
    <w:rsid w:val="0084387F"/>
    <w:rsid w:val="00843AFD"/>
    <w:rsid w:val="00843B2C"/>
    <w:rsid w:val="008444F8"/>
    <w:rsid w:val="008445D2"/>
    <w:rsid w:val="0084470D"/>
    <w:rsid w:val="00844750"/>
    <w:rsid w:val="00844864"/>
    <w:rsid w:val="00845A92"/>
    <w:rsid w:val="00845F51"/>
    <w:rsid w:val="00846106"/>
    <w:rsid w:val="00846273"/>
    <w:rsid w:val="00846467"/>
    <w:rsid w:val="00846661"/>
    <w:rsid w:val="008467CC"/>
    <w:rsid w:val="00846872"/>
    <w:rsid w:val="00846874"/>
    <w:rsid w:val="00846AC4"/>
    <w:rsid w:val="00846C70"/>
    <w:rsid w:val="00846C77"/>
    <w:rsid w:val="00846E99"/>
    <w:rsid w:val="008470A4"/>
    <w:rsid w:val="0084749D"/>
    <w:rsid w:val="00847964"/>
    <w:rsid w:val="00847991"/>
    <w:rsid w:val="00847C4E"/>
    <w:rsid w:val="00847F69"/>
    <w:rsid w:val="00850AE8"/>
    <w:rsid w:val="00850B13"/>
    <w:rsid w:val="00851B22"/>
    <w:rsid w:val="00852338"/>
    <w:rsid w:val="00852AA6"/>
    <w:rsid w:val="00852C2C"/>
    <w:rsid w:val="008539E3"/>
    <w:rsid w:val="00853C45"/>
    <w:rsid w:val="00854090"/>
    <w:rsid w:val="008540C8"/>
    <w:rsid w:val="00854983"/>
    <w:rsid w:val="00854A91"/>
    <w:rsid w:val="00854E0E"/>
    <w:rsid w:val="0085626D"/>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7AB"/>
    <w:rsid w:val="008617BC"/>
    <w:rsid w:val="00861B41"/>
    <w:rsid w:val="00861D65"/>
    <w:rsid w:val="00861DA1"/>
    <w:rsid w:val="00862017"/>
    <w:rsid w:val="0086205D"/>
    <w:rsid w:val="008620C2"/>
    <w:rsid w:val="00862173"/>
    <w:rsid w:val="00862290"/>
    <w:rsid w:val="00862558"/>
    <w:rsid w:val="008626B0"/>
    <w:rsid w:val="00862988"/>
    <w:rsid w:val="00862A4E"/>
    <w:rsid w:val="00862BA2"/>
    <w:rsid w:val="00863096"/>
    <w:rsid w:val="0086329D"/>
    <w:rsid w:val="00863479"/>
    <w:rsid w:val="00863AA0"/>
    <w:rsid w:val="00864A9F"/>
    <w:rsid w:val="00864C02"/>
    <w:rsid w:val="008650AB"/>
    <w:rsid w:val="00865696"/>
    <w:rsid w:val="00865D02"/>
    <w:rsid w:val="00865D4C"/>
    <w:rsid w:val="00865DE1"/>
    <w:rsid w:val="008669FF"/>
    <w:rsid w:val="00866BFD"/>
    <w:rsid w:val="00866FEA"/>
    <w:rsid w:val="00867255"/>
    <w:rsid w:val="008678F0"/>
    <w:rsid w:val="00870018"/>
    <w:rsid w:val="00870161"/>
    <w:rsid w:val="00870637"/>
    <w:rsid w:val="00870793"/>
    <w:rsid w:val="008707D1"/>
    <w:rsid w:val="00870869"/>
    <w:rsid w:val="008708B4"/>
    <w:rsid w:val="00870A1C"/>
    <w:rsid w:val="00871029"/>
    <w:rsid w:val="00871096"/>
    <w:rsid w:val="00871171"/>
    <w:rsid w:val="008711F8"/>
    <w:rsid w:val="00871372"/>
    <w:rsid w:val="00871D14"/>
    <w:rsid w:val="008722B0"/>
    <w:rsid w:val="00872487"/>
    <w:rsid w:val="0087250F"/>
    <w:rsid w:val="00872B95"/>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2A9"/>
    <w:rsid w:val="008804C9"/>
    <w:rsid w:val="00880AB2"/>
    <w:rsid w:val="00880D84"/>
    <w:rsid w:val="00880E95"/>
    <w:rsid w:val="008810DF"/>
    <w:rsid w:val="008810FA"/>
    <w:rsid w:val="00881842"/>
    <w:rsid w:val="008819A5"/>
    <w:rsid w:val="00881D7B"/>
    <w:rsid w:val="00881F28"/>
    <w:rsid w:val="008829DC"/>
    <w:rsid w:val="00882BB1"/>
    <w:rsid w:val="00882C9C"/>
    <w:rsid w:val="00883004"/>
    <w:rsid w:val="0088338B"/>
    <w:rsid w:val="00883D1E"/>
    <w:rsid w:val="00883ED6"/>
    <w:rsid w:val="00884255"/>
    <w:rsid w:val="0088425B"/>
    <w:rsid w:val="00884AD8"/>
    <w:rsid w:val="00884CDF"/>
    <w:rsid w:val="0088579F"/>
    <w:rsid w:val="00885D5D"/>
    <w:rsid w:val="00885EC9"/>
    <w:rsid w:val="00885F46"/>
    <w:rsid w:val="00885F7A"/>
    <w:rsid w:val="00886223"/>
    <w:rsid w:val="0088651F"/>
    <w:rsid w:val="0088697F"/>
    <w:rsid w:val="008876DF"/>
    <w:rsid w:val="00887771"/>
    <w:rsid w:val="00887FEF"/>
    <w:rsid w:val="0089055B"/>
    <w:rsid w:val="008907B2"/>
    <w:rsid w:val="00890917"/>
    <w:rsid w:val="00890BCD"/>
    <w:rsid w:val="00890E0D"/>
    <w:rsid w:val="00890F04"/>
    <w:rsid w:val="00890FBE"/>
    <w:rsid w:val="00891F63"/>
    <w:rsid w:val="00892253"/>
    <w:rsid w:val="008922DF"/>
    <w:rsid w:val="00893024"/>
    <w:rsid w:val="0089302F"/>
    <w:rsid w:val="0089398C"/>
    <w:rsid w:val="00893B3B"/>
    <w:rsid w:val="00893BA4"/>
    <w:rsid w:val="00893DB3"/>
    <w:rsid w:val="00894790"/>
    <w:rsid w:val="008948A0"/>
    <w:rsid w:val="008949CE"/>
    <w:rsid w:val="00894A2E"/>
    <w:rsid w:val="00894ADC"/>
    <w:rsid w:val="00894DF1"/>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46"/>
    <w:rsid w:val="008A294D"/>
    <w:rsid w:val="008A2AAE"/>
    <w:rsid w:val="008A2F26"/>
    <w:rsid w:val="008A36ED"/>
    <w:rsid w:val="008A3898"/>
    <w:rsid w:val="008A39E2"/>
    <w:rsid w:val="008A42D8"/>
    <w:rsid w:val="008A457F"/>
    <w:rsid w:val="008A4DAC"/>
    <w:rsid w:val="008A4E04"/>
    <w:rsid w:val="008A53C3"/>
    <w:rsid w:val="008A59E9"/>
    <w:rsid w:val="008A5AB1"/>
    <w:rsid w:val="008A5FE7"/>
    <w:rsid w:val="008A62D3"/>
    <w:rsid w:val="008A631F"/>
    <w:rsid w:val="008A668F"/>
    <w:rsid w:val="008A6AD5"/>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B2"/>
    <w:rsid w:val="008B2052"/>
    <w:rsid w:val="008B21F5"/>
    <w:rsid w:val="008B2392"/>
    <w:rsid w:val="008B252A"/>
    <w:rsid w:val="008B269F"/>
    <w:rsid w:val="008B2A2E"/>
    <w:rsid w:val="008B2AB2"/>
    <w:rsid w:val="008B2CB6"/>
    <w:rsid w:val="008B2D1D"/>
    <w:rsid w:val="008B2DEB"/>
    <w:rsid w:val="008B30EB"/>
    <w:rsid w:val="008B3779"/>
    <w:rsid w:val="008B3B71"/>
    <w:rsid w:val="008B3E81"/>
    <w:rsid w:val="008B41EF"/>
    <w:rsid w:val="008B4230"/>
    <w:rsid w:val="008B447F"/>
    <w:rsid w:val="008B44A9"/>
    <w:rsid w:val="008B4A4A"/>
    <w:rsid w:val="008B4B0D"/>
    <w:rsid w:val="008B4B33"/>
    <w:rsid w:val="008B5448"/>
    <w:rsid w:val="008B5577"/>
    <w:rsid w:val="008B60ED"/>
    <w:rsid w:val="008B66CB"/>
    <w:rsid w:val="008B68C6"/>
    <w:rsid w:val="008B6E5C"/>
    <w:rsid w:val="008B6EEA"/>
    <w:rsid w:val="008B7E3F"/>
    <w:rsid w:val="008C0027"/>
    <w:rsid w:val="008C0B6C"/>
    <w:rsid w:val="008C1161"/>
    <w:rsid w:val="008C18DB"/>
    <w:rsid w:val="008C1E59"/>
    <w:rsid w:val="008C2135"/>
    <w:rsid w:val="008C2236"/>
    <w:rsid w:val="008C2426"/>
    <w:rsid w:val="008C2453"/>
    <w:rsid w:val="008C26B4"/>
    <w:rsid w:val="008C2767"/>
    <w:rsid w:val="008C2BC8"/>
    <w:rsid w:val="008C4B47"/>
    <w:rsid w:val="008C4D56"/>
    <w:rsid w:val="008C570A"/>
    <w:rsid w:val="008C59D5"/>
    <w:rsid w:val="008C5B10"/>
    <w:rsid w:val="008C5D57"/>
    <w:rsid w:val="008C6970"/>
    <w:rsid w:val="008C69D9"/>
    <w:rsid w:val="008C69DC"/>
    <w:rsid w:val="008C6C7A"/>
    <w:rsid w:val="008C6D71"/>
    <w:rsid w:val="008C6F4F"/>
    <w:rsid w:val="008C6F9B"/>
    <w:rsid w:val="008C6FA2"/>
    <w:rsid w:val="008C7245"/>
    <w:rsid w:val="008C7386"/>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2DA4"/>
    <w:rsid w:val="008D300D"/>
    <w:rsid w:val="008D3208"/>
    <w:rsid w:val="008D399A"/>
    <w:rsid w:val="008D4318"/>
    <w:rsid w:val="008D453F"/>
    <w:rsid w:val="008D4D74"/>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A82"/>
    <w:rsid w:val="008E1B6C"/>
    <w:rsid w:val="008E1FDF"/>
    <w:rsid w:val="008E2051"/>
    <w:rsid w:val="008E20D6"/>
    <w:rsid w:val="008E20EC"/>
    <w:rsid w:val="008E225F"/>
    <w:rsid w:val="008E2562"/>
    <w:rsid w:val="008E2946"/>
    <w:rsid w:val="008E2B47"/>
    <w:rsid w:val="008E2C9C"/>
    <w:rsid w:val="008E2E43"/>
    <w:rsid w:val="008E2E8C"/>
    <w:rsid w:val="008E333F"/>
    <w:rsid w:val="008E378A"/>
    <w:rsid w:val="008E3C96"/>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7D4"/>
    <w:rsid w:val="008F0BA6"/>
    <w:rsid w:val="008F0FC8"/>
    <w:rsid w:val="008F1584"/>
    <w:rsid w:val="008F1CF8"/>
    <w:rsid w:val="008F211C"/>
    <w:rsid w:val="008F2151"/>
    <w:rsid w:val="008F2201"/>
    <w:rsid w:val="008F2A8C"/>
    <w:rsid w:val="008F2AE7"/>
    <w:rsid w:val="008F3069"/>
    <w:rsid w:val="008F35F6"/>
    <w:rsid w:val="008F368F"/>
    <w:rsid w:val="008F3BF5"/>
    <w:rsid w:val="008F3D2D"/>
    <w:rsid w:val="008F3D7C"/>
    <w:rsid w:val="008F3DC9"/>
    <w:rsid w:val="008F4107"/>
    <w:rsid w:val="008F44CA"/>
    <w:rsid w:val="008F4B0F"/>
    <w:rsid w:val="008F4BFE"/>
    <w:rsid w:val="008F4E3F"/>
    <w:rsid w:val="008F5406"/>
    <w:rsid w:val="008F5461"/>
    <w:rsid w:val="008F5866"/>
    <w:rsid w:val="008F595E"/>
    <w:rsid w:val="008F5EAD"/>
    <w:rsid w:val="008F6188"/>
    <w:rsid w:val="008F6649"/>
    <w:rsid w:val="008F6798"/>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DF"/>
    <w:rsid w:val="00901E1F"/>
    <w:rsid w:val="009022BC"/>
    <w:rsid w:val="00902512"/>
    <w:rsid w:val="0090255A"/>
    <w:rsid w:val="00902686"/>
    <w:rsid w:val="00902734"/>
    <w:rsid w:val="00903281"/>
    <w:rsid w:val="00903F0F"/>
    <w:rsid w:val="00903F59"/>
    <w:rsid w:val="00904038"/>
    <w:rsid w:val="00904052"/>
    <w:rsid w:val="009045C7"/>
    <w:rsid w:val="0090480E"/>
    <w:rsid w:val="00904A62"/>
    <w:rsid w:val="00904B6D"/>
    <w:rsid w:val="00904D35"/>
    <w:rsid w:val="00904E71"/>
    <w:rsid w:val="00904F2B"/>
    <w:rsid w:val="00905A06"/>
    <w:rsid w:val="00905BC8"/>
    <w:rsid w:val="00905F49"/>
    <w:rsid w:val="00906100"/>
    <w:rsid w:val="009067B8"/>
    <w:rsid w:val="009068B5"/>
    <w:rsid w:val="00906EED"/>
    <w:rsid w:val="00907071"/>
    <w:rsid w:val="0090715C"/>
    <w:rsid w:val="009076AC"/>
    <w:rsid w:val="00907BEE"/>
    <w:rsid w:val="00910874"/>
    <w:rsid w:val="009108A7"/>
    <w:rsid w:val="00911A5A"/>
    <w:rsid w:val="00911E1A"/>
    <w:rsid w:val="0091225D"/>
    <w:rsid w:val="009123B9"/>
    <w:rsid w:val="00912805"/>
    <w:rsid w:val="00912A63"/>
    <w:rsid w:val="00912A96"/>
    <w:rsid w:val="00912F6D"/>
    <w:rsid w:val="00913AF7"/>
    <w:rsid w:val="00913B67"/>
    <w:rsid w:val="00913EAE"/>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5E14"/>
    <w:rsid w:val="0091610F"/>
    <w:rsid w:val="009161BA"/>
    <w:rsid w:val="00917E0B"/>
    <w:rsid w:val="0092078E"/>
    <w:rsid w:val="00920848"/>
    <w:rsid w:val="00920B0E"/>
    <w:rsid w:val="00921530"/>
    <w:rsid w:val="009216BF"/>
    <w:rsid w:val="009218D2"/>
    <w:rsid w:val="00921A44"/>
    <w:rsid w:val="00921A74"/>
    <w:rsid w:val="00921C9F"/>
    <w:rsid w:val="00921ED5"/>
    <w:rsid w:val="00921FA1"/>
    <w:rsid w:val="00921FC2"/>
    <w:rsid w:val="009221E7"/>
    <w:rsid w:val="009225B6"/>
    <w:rsid w:val="00922815"/>
    <w:rsid w:val="00923151"/>
    <w:rsid w:val="009235CF"/>
    <w:rsid w:val="00923821"/>
    <w:rsid w:val="00923C0D"/>
    <w:rsid w:val="00923DF9"/>
    <w:rsid w:val="00924108"/>
    <w:rsid w:val="009246A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6AF1"/>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FFD"/>
    <w:rsid w:val="009359C0"/>
    <w:rsid w:val="00935B52"/>
    <w:rsid w:val="009360F7"/>
    <w:rsid w:val="0093634D"/>
    <w:rsid w:val="0093672B"/>
    <w:rsid w:val="00936754"/>
    <w:rsid w:val="00936B8C"/>
    <w:rsid w:val="00936D07"/>
    <w:rsid w:val="009370A6"/>
    <w:rsid w:val="009373C5"/>
    <w:rsid w:val="009379B9"/>
    <w:rsid w:val="00937AC7"/>
    <w:rsid w:val="00937D15"/>
    <w:rsid w:val="00940A5D"/>
    <w:rsid w:val="00940BC0"/>
    <w:rsid w:val="00940BCB"/>
    <w:rsid w:val="00940D85"/>
    <w:rsid w:val="00940D9C"/>
    <w:rsid w:val="00940DF4"/>
    <w:rsid w:val="00940FB5"/>
    <w:rsid w:val="00941259"/>
    <w:rsid w:val="0094148B"/>
    <w:rsid w:val="00941A1C"/>
    <w:rsid w:val="00941AA8"/>
    <w:rsid w:val="00941B97"/>
    <w:rsid w:val="00941E13"/>
    <w:rsid w:val="009421B3"/>
    <w:rsid w:val="0094267F"/>
    <w:rsid w:val="0094290B"/>
    <w:rsid w:val="00942BB8"/>
    <w:rsid w:val="00942E21"/>
    <w:rsid w:val="00942EF9"/>
    <w:rsid w:val="0094335F"/>
    <w:rsid w:val="0094376F"/>
    <w:rsid w:val="009440F6"/>
    <w:rsid w:val="00944202"/>
    <w:rsid w:val="00944335"/>
    <w:rsid w:val="0094484A"/>
    <w:rsid w:val="00944AF4"/>
    <w:rsid w:val="00945D3C"/>
    <w:rsid w:val="00945E49"/>
    <w:rsid w:val="009462D8"/>
    <w:rsid w:val="00946388"/>
    <w:rsid w:val="0094663A"/>
    <w:rsid w:val="00946AA5"/>
    <w:rsid w:val="00946C4B"/>
    <w:rsid w:val="00946E3E"/>
    <w:rsid w:val="009478ED"/>
    <w:rsid w:val="009479E5"/>
    <w:rsid w:val="00947D8B"/>
    <w:rsid w:val="00947DA4"/>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00A"/>
    <w:rsid w:val="00953415"/>
    <w:rsid w:val="00953424"/>
    <w:rsid w:val="009535B7"/>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1E9"/>
    <w:rsid w:val="00956957"/>
    <w:rsid w:val="009573C6"/>
    <w:rsid w:val="009573C8"/>
    <w:rsid w:val="00957487"/>
    <w:rsid w:val="00957B6B"/>
    <w:rsid w:val="00957D9C"/>
    <w:rsid w:val="00957E2C"/>
    <w:rsid w:val="00957E93"/>
    <w:rsid w:val="0096026B"/>
    <w:rsid w:val="009603AB"/>
    <w:rsid w:val="00960475"/>
    <w:rsid w:val="00960479"/>
    <w:rsid w:val="009607AF"/>
    <w:rsid w:val="00960A88"/>
    <w:rsid w:val="00960C68"/>
    <w:rsid w:val="00960CB6"/>
    <w:rsid w:val="00960D09"/>
    <w:rsid w:val="00960D27"/>
    <w:rsid w:val="00961023"/>
    <w:rsid w:val="009612F1"/>
    <w:rsid w:val="009616FA"/>
    <w:rsid w:val="00961A61"/>
    <w:rsid w:val="00961E6D"/>
    <w:rsid w:val="00961F21"/>
    <w:rsid w:val="009621FF"/>
    <w:rsid w:val="00962395"/>
    <w:rsid w:val="009630C9"/>
    <w:rsid w:val="0096392B"/>
    <w:rsid w:val="0096397B"/>
    <w:rsid w:val="00963F73"/>
    <w:rsid w:val="00964E3C"/>
    <w:rsid w:val="00964E69"/>
    <w:rsid w:val="0096504D"/>
    <w:rsid w:val="009654F0"/>
    <w:rsid w:val="00965757"/>
    <w:rsid w:val="009659EA"/>
    <w:rsid w:val="0096691D"/>
    <w:rsid w:val="00966EC4"/>
    <w:rsid w:val="0096766C"/>
    <w:rsid w:val="00967851"/>
    <w:rsid w:val="00967D2D"/>
    <w:rsid w:val="00967F30"/>
    <w:rsid w:val="00970F7A"/>
    <w:rsid w:val="00970FE3"/>
    <w:rsid w:val="0097109D"/>
    <w:rsid w:val="009711C3"/>
    <w:rsid w:val="009713ED"/>
    <w:rsid w:val="00971C7D"/>
    <w:rsid w:val="00971EC5"/>
    <w:rsid w:val="00971F6B"/>
    <w:rsid w:val="00971FCC"/>
    <w:rsid w:val="00972562"/>
    <w:rsid w:val="0097281F"/>
    <w:rsid w:val="0097285C"/>
    <w:rsid w:val="0097298A"/>
    <w:rsid w:val="00972BB7"/>
    <w:rsid w:val="00972C06"/>
    <w:rsid w:val="00972F4C"/>
    <w:rsid w:val="00972FC5"/>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9A0"/>
    <w:rsid w:val="00976D1B"/>
    <w:rsid w:val="00976FFB"/>
    <w:rsid w:val="00977536"/>
    <w:rsid w:val="00977852"/>
    <w:rsid w:val="009778AB"/>
    <w:rsid w:val="00977C4D"/>
    <w:rsid w:val="00980403"/>
    <w:rsid w:val="00980498"/>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8CE"/>
    <w:rsid w:val="009839C8"/>
    <w:rsid w:val="00983B9C"/>
    <w:rsid w:val="00983BD1"/>
    <w:rsid w:val="00983C41"/>
    <w:rsid w:val="00984206"/>
    <w:rsid w:val="00984235"/>
    <w:rsid w:val="00984C8E"/>
    <w:rsid w:val="00984E26"/>
    <w:rsid w:val="0098511E"/>
    <w:rsid w:val="00985133"/>
    <w:rsid w:val="0098541D"/>
    <w:rsid w:val="0098582F"/>
    <w:rsid w:val="00985BA2"/>
    <w:rsid w:val="00985CA4"/>
    <w:rsid w:val="00986956"/>
    <w:rsid w:val="00986B31"/>
    <w:rsid w:val="009871C2"/>
    <w:rsid w:val="009873AF"/>
    <w:rsid w:val="009875A6"/>
    <w:rsid w:val="009876A0"/>
    <w:rsid w:val="009879B5"/>
    <w:rsid w:val="009879F4"/>
    <w:rsid w:val="00987A56"/>
    <w:rsid w:val="00987E33"/>
    <w:rsid w:val="0099005F"/>
    <w:rsid w:val="00990164"/>
    <w:rsid w:val="009902F6"/>
    <w:rsid w:val="0099059E"/>
    <w:rsid w:val="00990E93"/>
    <w:rsid w:val="009917F3"/>
    <w:rsid w:val="00991AC4"/>
    <w:rsid w:val="00991F39"/>
    <w:rsid w:val="00991F68"/>
    <w:rsid w:val="0099256F"/>
    <w:rsid w:val="00992624"/>
    <w:rsid w:val="009927C4"/>
    <w:rsid w:val="00992A4E"/>
    <w:rsid w:val="00993075"/>
    <w:rsid w:val="009930C0"/>
    <w:rsid w:val="0099324C"/>
    <w:rsid w:val="00993627"/>
    <w:rsid w:val="0099367D"/>
    <w:rsid w:val="009936F0"/>
    <w:rsid w:val="009938ED"/>
    <w:rsid w:val="00994D59"/>
    <w:rsid w:val="00995063"/>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488"/>
    <w:rsid w:val="009A56A7"/>
    <w:rsid w:val="009A5812"/>
    <w:rsid w:val="009A5EF9"/>
    <w:rsid w:val="009A6127"/>
    <w:rsid w:val="009A62DC"/>
    <w:rsid w:val="009A637B"/>
    <w:rsid w:val="009A6456"/>
    <w:rsid w:val="009A6C74"/>
    <w:rsid w:val="009A6EE7"/>
    <w:rsid w:val="009A7154"/>
    <w:rsid w:val="009A78D1"/>
    <w:rsid w:val="009A7DFB"/>
    <w:rsid w:val="009A7E08"/>
    <w:rsid w:val="009A7EDA"/>
    <w:rsid w:val="009B003C"/>
    <w:rsid w:val="009B0295"/>
    <w:rsid w:val="009B03D3"/>
    <w:rsid w:val="009B167D"/>
    <w:rsid w:val="009B1823"/>
    <w:rsid w:val="009B1E6C"/>
    <w:rsid w:val="009B2226"/>
    <w:rsid w:val="009B2E47"/>
    <w:rsid w:val="009B3685"/>
    <w:rsid w:val="009B3745"/>
    <w:rsid w:val="009B3C79"/>
    <w:rsid w:val="009B3D47"/>
    <w:rsid w:val="009B4250"/>
    <w:rsid w:val="009B4821"/>
    <w:rsid w:val="009B4C1C"/>
    <w:rsid w:val="009B4C24"/>
    <w:rsid w:val="009B5821"/>
    <w:rsid w:val="009B595F"/>
    <w:rsid w:val="009B59FD"/>
    <w:rsid w:val="009B63EA"/>
    <w:rsid w:val="009B6945"/>
    <w:rsid w:val="009B6DC6"/>
    <w:rsid w:val="009B6DF6"/>
    <w:rsid w:val="009B70E9"/>
    <w:rsid w:val="009B7564"/>
    <w:rsid w:val="009B7BB7"/>
    <w:rsid w:val="009B7D5C"/>
    <w:rsid w:val="009B7FFA"/>
    <w:rsid w:val="009C00EF"/>
    <w:rsid w:val="009C0BC1"/>
    <w:rsid w:val="009C0DBE"/>
    <w:rsid w:val="009C0E3B"/>
    <w:rsid w:val="009C1035"/>
    <w:rsid w:val="009C1240"/>
    <w:rsid w:val="009C1991"/>
    <w:rsid w:val="009C19BC"/>
    <w:rsid w:val="009C19D2"/>
    <w:rsid w:val="009C1BF9"/>
    <w:rsid w:val="009C1D4B"/>
    <w:rsid w:val="009C1E0C"/>
    <w:rsid w:val="009C206F"/>
    <w:rsid w:val="009C281C"/>
    <w:rsid w:val="009C2957"/>
    <w:rsid w:val="009C2AB0"/>
    <w:rsid w:val="009C2B1C"/>
    <w:rsid w:val="009C2EC6"/>
    <w:rsid w:val="009C3D88"/>
    <w:rsid w:val="009C42A3"/>
    <w:rsid w:val="009C4B76"/>
    <w:rsid w:val="009C509F"/>
    <w:rsid w:val="009C520B"/>
    <w:rsid w:val="009C5785"/>
    <w:rsid w:val="009C5874"/>
    <w:rsid w:val="009C6768"/>
    <w:rsid w:val="009C6894"/>
    <w:rsid w:val="009C6AB1"/>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489"/>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522"/>
    <w:rsid w:val="009E176B"/>
    <w:rsid w:val="009E1E2C"/>
    <w:rsid w:val="009E1F70"/>
    <w:rsid w:val="009E21A4"/>
    <w:rsid w:val="009E2234"/>
    <w:rsid w:val="009E2BE6"/>
    <w:rsid w:val="009E2CB8"/>
    <w:rsid w:val="009E2DD3"/>
    <w:rsid w:val="009E2EAE"/>
    <w:rsid w:val="009E2F97"/>
    <w:rsid w:val="009E3644"/>
    <w:rsid w:val="009E3790"/>
    <w:rsid w:val="009E3C31"/>
    <w:rsid w:val="009E3E93"/>
    <w:rsid w:val="009E457F"/>
    <w:rsid w:val="009E4FCC"/>
    <w:rsid w:val="009E5656"/>
    <w:rsid w:val="009E5AB4"/>
    <w:rsid w:val="009E60C7"/>
    <w:rsid w:val="009E641D"/>
    <w:rsid w:val="009E6463"/>
    <w:rsid w:val="009E6A64"/>
    <w:rsid w:val="009E6D2E"/>
    <w:rsid w:val="009E6FBA"/>
    <w:rsid w:val="009E6FC8"/>
    <w:rsid w:val="009E707D"/>
    <w:rsid w:val="009E73D9"/>
    <w:rsid w:val="009E7789"/>
    <w:rsid w:val="009E7E9B"/>
    <w:rsid w:val="009F0082"/>
    <w:rsid w:val="009F0258"/>
    <w:rsid w:val="009F02E1"/>
    <w:rsid w:val="009F056D"/>
    <w:rsid w:val="009F07FC"/>
    <w:rsid w:val="009F0992"/>
    <w:rsid w:val="009F0CD1"/>
    <w:rsid w:val="009F14F1"/>
    <w:rsid w:val="009F16B5"/>
    <w:rsid w:val="009F187B"/>
    <w:rsid w:val="009F1933"/>
    <w:rsid w:val="009F26C0"/>
    <w:rsid w:val="009F2781"/>
    <w:rsid w:val="009F2A94"/>
    <w:rsid w:val="009F2AAF"/>
    <w:rsid w:val="009F2E7E"/>
    <w:rsid w:val="009F3A4B"/>
    <w:rsid w:val="009F3C7D"/>
    <w:rsid w:val="009F4196"/>
    <w:rsid w:val="009F41E1"/>
    <w:rsid w:val="009F4375"/>
    <w:rsid w:val="009F483A"/>
    <w:rsid w:val="009F4F05"/>
    <w:rsid w:val="009F4FA3"/>
    <w:rsid w:val="009F5606"/>
    <w:rsid w:val="009F5902"/>
    <w:rsid w:val="009F5CA4"/>
    <w:rsid w:val="009F6030"/>
    <w:rsid w:val="009F6410"/>
    <w:rsid w:val="009F6457"/>
    <w:rsid w:val="009F7169"/>
    <w:rsid w:val="009F7883"/>
    <w:rsid w:val="009F79BE"/>
    <w:rsid w:val="009F7C2E"/>
    <w:rsid w:val="009F7D36"/>
    <w:rsid w:val="00A0018E"/>
    <w:rsid w:val="00A004F2"/>
    <w:rsid w:val="00A007EC"/>
    <w:rsid w:val="00A00B60"/>
    <w:rsid w:val="00A01006"/>
    <w:rsid w:val="00A01269"/>
    <w:rsid w:val="00A01968"/>
    <w:rsid w:val="00A02B26"/>
    <w:rsid w:val="00A02BEC"/>
    <w:rsid w:val="00A02C96"/>
    <w:rsid w:val="00A02D52"/>
    <w:rsid w:val="00A02DFE"/>
    <w:rsid w:val="00A02FBC"/>
    <w:rsid w:val="00A03A1D"/>
    <w:rsid w:val="00A043B9"/>
    <w:rsid w:val="00A04541"/>
    <w:rsid w:val="00A0461B"/>
    <w:rsid w:val="00A04A92"/>
    <w:rsid w:val="00A04DB3"/>
    <w:rsid w:val="00A04E65"/>
    <w:rsid w:val="00A04EEC"/>
    <w:rsid w:val="00A0559E"/>
    <w:rsid w:val="00A05A1F"/>
    <w:rsid w:val="00A05AA6"/>
    <w:rsid w:val="00A05BD0"/>
    <w:rsid w:val="00A05D10"/>
    <w:rsid w:val="00A05DFF"/>
    <w:rsid w:val="00A06140"/>
    <w:rsid w:val="00A062EA"/>
    <w:rsid w:val="00A06384"/>
    <w:rsid w:val="00A0648C"/>
    <w:rsid w:val="00A068D2"/>
    <w:rsid w:val="00A06ABB"/>
    <w:rsid w:val="00A06CC1"/>
    <w:rsid w:val="00A06F57"/>
    <w:rsid w:val="00A06FF5"/>
    <w:rsid w:val="00A07065"/>
    <w:rsid w:val="00A07594"/>
    <w:rsid w:val="00A07654"/>
    <w:rsid w:val="00A07656"/>
    <w:rsid w:val="00A07B16"/>
    <w:rsid w:val="00A07E6F"/>
    <w:rsid w:val="00A10230"/>
    <w:rsid w:val="00A105DB"/>
    <w:rsid w:val="00A106FE"/>
    <w:rsid w:val="00A107B6"/>
    <w:rsid w:val="00A10951"/>
    <w:rsid w:val="00A10B48"/>
    <w:rsid w:val="00A113B9"/>
    <w:rsid w:val="00A114B5"/>
    <w:rsid w:val="00A115BF"/>
    <w:rsid w:val="00A116E5"/>
    <w:rsid w:val="00A1197E"/>
    <w:rsid w:val="00A11A89"/>
    <w:rsid w:val="00A11ACA"/>
    <w:rsid w:val="00A11E0F"/>
    <w:rsid w:val="00A1218E"/>
    <w:rsid w:val="00A12206"/>
    <w:rsid w:val="00A12301"/>
    <w:rsid w:val="00A126D1"/>
    <w:rsid w:val="00A12929"/>
    <w:rsid w:val="00A12A73"/>
    <w:rsid w:val="00A12BEE"/>
    <w:rsid w:val="00A12DC4"/>
    <w:rsid w:val="00A12EE8"/>
    <w:rsid w:val="00A131A4"/>
    <w:rsid w:val="00A13299"/>
    <w:rsid w:val="00A13715"/>
    <w:rsid w:val="00A139E2"/>
    <w:rsid w:val="00A13A66"/>
    <w:rsid w:val="00A13B10"/>
    <w:rsid w:val="00A13CF1"/>
    <w:rsid w:val="00A145D0"/>
    <w:rsid w:val="00A1574E"/>
    <w:rsid w:val="00A157EC"/>
    <w:rsid w:val="00A158D3"/>
    <w:rsid w:val="00A15F2F"/>
    <w:rsid w:val="00A16150"/>
    <w:rsid w:val="00A16328"/>
    <w:rsid w:val="00A163A7"/>
    <w:rsid w:val="00A16510"/>
    <w:rsid w:val="00A1686F"/>
    <w:rsid w:val="00A17180"/>
    <w:rsid w:val="00A1731C"/>
    <w:rsid w:val="00A17345"/>
    <w:rsid w:val="00A17648"/>
    <w:rsid w:val="00A1789B"/>
    <w:rsid w:val="00A179CC"/>
    <w:rsid w:val="00A17FA0"/>
    <w:rsid w:val="00A20232"/>
    <w:rsid w:val="00A205BF"/>
    <w:rsid w:val="00A205D4"/>
    <w:rsid w:val="00A2079E"/>
    <w:rsid w:val="00A2104B"/>
    <w:rsid w:val="00A210E9"/>
    <w:rsid w:val="00A21469"/>
    <w:rsid w:val="00A218AE"/>
    <w:rsid w:val="00A21A9D"/>
    <w:rsid w:val="00A21AAA"/>
    <w:rsid w:val="00A21E51"/>
    <w:rsid w:val="00A2208A"/>
    <w:rsid w:val="00A22132"/>
    <w:rsid w:val="00A22207"/>
    <w:rsid w:val="00A22389"/>
    <w:rsid w:val="00A22553"/>
    <w:rsid w:val="00A2260A"/>
    <w:rsid w:val="00A22664"/>
    <w:rsid w:val="00A23243"/>
    <w:rsid w:val="00A23590"/>
    <w:rsid w:val="00A2384B"/>
    <w:rsid w:val="00A23919"/>
    <w:rsid w:val="00A23921"/>
    <w:rsid w:val="00A23E0D"/>
    <w:rsid w:val="00A24002"/>
    <w:rsid w:val="00A244F6"/>
    <w:rsid w:val="00A2470A"/>
    <w:rsid w:val="00A2481C"/>
    <w:rsid w:val="00A24CCF"/>
    <w:rsid w:val="00A25296"/>
    <w:rsid w:val="00A253C6"/>
    <w:rsid w:val="00A2585A"/>
    <w:rsid w:val="00A25B10"/>
    <w:rsid w:val="00A25BD5"/>
    <w:rsid w:val="00A25C9D"/>
    <w:rsid w:val="00A261E4"/>
    <w:rsid w:val="00A265D9"/>
    <w:rsid w:val="00A26883"/>
    <w:rsid w:val="00A26A26"/>
    <w:rsid w:val="00A26D60"/>
    <w:rsid w:val="00A26EE0"/>
    <w:rsid w:val="00A2702B"/>
    <w:rsid w:val="00A279DC"/>
    <w:rsid w:val="00A27C97"/>
    <w:rsid w:val="00A30703"/>
    <w:rsid w:val="00A30BAE"/>
    <w:rsid w:val="00A3135B"/>
    <w:rsid w:val="00A313D0"/>
    <w:rsid w:val="00A314A9"/>
    <w:rsid w:val="00A31591"/>
    <w:rsid w:val="00A31AD2"/>
    <w:rsid w:val="00A31E88"/>
    <w:rsid w:val="00A321EE"/>
    <w:rsid w:val="00A3226E"/>
    <w:rsid w:val="00A32284"/>
    <w:rsid w:val="00A325C2"/>
    <w:rsid w:val="00A325CC"/>
    <w:rsid w:val="00A327E2"/>
    <w:rsid w:val="00A329BB"/>
    <w:rsid w:val="00A32A44"/>
    <w:rsid w:val="00A32BAD"/>
    <w:rsid w:val="00A32C37"/>
    <w:rsid w:val="00A3331F"/>
    <w:rsid w:val="00A3393A"/>
    <w:rsid w:val="00A34685"/>
    <w:rsid w:val="00A34AFB"/>
    <w:rsid w:val="00A34BE5"/>
    <w:rsid w:val="00A34DA0"/>
    <w:rsid w:val="00A34F3C"/>
    <w:rsid w:val="00A35629"/>
    <w:rsid w:val="00A35A0B"/>
    <w:rsid w:val="00A35BD0"/>
    <w:rsid w:val="00A362CB"/>
    <w:rsid w:val="00A3651A"/>
    <w:rsid w:val="00A37413"/>
    <w:rsid w:val="00A3747D"/>
    <w:rsid w:val="00A37A59"/>
    <w:rsid w:val="00A37E05"/>
    <w:rsid w:val="00A401D7"/>
    <w:rsid w:val="00A40531"/>
    <w:rsid w:val="00A40660"/>
    <w:rsid w:val="00A40A83"/>
    <w:rsid w:val="00A40C1E"/>
    <w:rsid w:val="00A41821"/>
    <w:rsid w:val="00A41C5C"/>
    <w:rsid w:val="00A41EF0"/>
    <w:rsid w:val="00A422A2"/>
    <w:rsid w:val="00A42659"/>
    <w:rsid w:val="00A42B87"/>
    <w:rsid w:val="00A4339C"/>
    <w:rsid w:val="00A43858"/>
    <w:rsid w:val="00A4392A"/>
    <w:rsid w:val="00A4424E"/>
    <w:rsid w:val="00A442E8"/>
    <w:rsid w:val="00A44882"/>
    <w:rsid w:val="00A44E28"/>
    <w:rsid w:val="00A44F39"/>
    <w:rsid w:val="00A45371"/>
    <w:rsid w:val="00A4570E"/>
    <w:rsid w:val="00A4579D"/>
    <w:rsid w:val="00A45A3B"/>
    <w:rsid w:val="00A45A4A"/>
    <w:rsid w:val="00A45C5B"/>
    <w:rsid w:val="00A45EFA"/>
    <w:rsid w:val="00A46CA0"/>
    <w:rsid w:val="00A46F5A"/>
    <w:rsid w:val="00A46FAD"/>
    <w:rsid w:val="00A47B4B"/>
    <w:rsid w:val="00A5044D"/>
    <w:rsid w:val="00A509DE"/>
    <w:rsid w:val="00A50B00"/>
    <w:rsid w:val="00A50CE6"/>
    <w:rsid w:val="00A50D49"/>
    <w:rsid w:val="00A511FB"/>
    <w:rsid w:val="00A514EB"/>
    <w:rsid w:val="00A514F7"/>
    <w:rsid w:val="00A516EF"/>
    <w:rsid w:val="00A521E0"/>
    <w:rsid w:val="00A524C8"/>
    <w:rsid w:val="00A5291D"/>
    <w:rsid w:val="00A52ED6"/>
    <w:rsid w:val="00A52EDB"/>
    <w:rsid w:val="00A531CC"/>
    <w:rsid w:val="00A532E0"/>
    <w:rsid w:val="00A53533"/>
    <w:rsid w:val="00A5435E"/>
    <w:rsid w:val="00A5449F"/>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C2C"/>
    <w:rsid w:val="00A57311"/>
    <w:rsid w:val="00A57BD6"/>
    <w:rsid w:val="00A57EC0"/>
    <w:rsid w:val="00A57F96"/>
    <w:rsid w:val="00A602D0"/>
    <w:rsid w:val="00A60386"/>
    <w:rsid w:val="00A6065A"/>
    <w:rsid w:val="00A6068D"/>
    <w:rsid w:val="00A606AC"/>
    <w:rsid w:val="00A609BC"/>
    <w:rsid w:val="00A60B4F"/>
    <w:rsid w:val="00A60E0C"/>
    <w:rsid w:val="00A60E20"/>
    <w:rsid w:val="00A60EBB"/>
    <w:rsid w:val="00A6157E"/>
    <w:rsid w:val="00A615A0"/>
    <w:rsid w:val="00A615AF"/>
    <w:rsid w:val="00A615EB"/>
    <w:rsid w:val="00A61828"/>
    <w:rsid w:val="00A6189D"/>
    <w:rsid w:val="00A61F65"/>
    <w:rsid w:val="00A6213D"/>
    <w:rsid w:val="00A621F3"/>
    <w:rsid w:val="00A623EF"/>
    <w:rsid w:val="00A62454"/>
    <w:rsid w:val="00A627E0"/>
    <w:rsid w:val="00A62953"/>
    <w:rsid w:val="00A63244"/>
    <w:rsid w:val="00A6367F"/>
    <w:rsid w:val="00A63872"/>
    <w:rsid w:val="00A63928"/>
    <w:rsid w:val="00A63A37"/>
    <w:rsid w:val="00A63C52"/>
    <w:rsid w:val="00A64196"/>
    <w:rsid w:val="00A647A9"/>
    <w:rsid w:val="00A649B4"/>
    <w:rsid w:val="00A64BC7"/>
    <w:rsid w:val="00A64EB1"/>
    <w:rsid w:val="00A65417"/>
    <w:rsid w:val="00A655C8"/>
    <w:rsid w:val="00A6563A"/>
    <w:rsid w:val="00A657CF"/>
    <w:rsid w:val="00A65C72"/>
    <w:rsid w:val="00A65FBF"/>
    <w:rsid w:val="00A6636E"/>
    <w:rsid w:val="00A66670"/>
    <w:rsid w:val="00A66851"/>
    <w:rsid w:val="00A669D6"/>
    <w:rsid w:val="00A6743F"/>
    <w:rsid w:val="00A677C1"/>
    <w:rsid w:val="00A67A8E"/>
    <w:rsid w:val="00A67AC6"/>
    <w:rsid w:val="00A70301"/>
    <w:rsid w:val="00A7054E"/>
    <w:rsid w:val="00A70A35"/>
    <w:rsid w:val="00A7141F"/>
    <w:rsid w:val="00A71D6B"/>
    <w:rsid w:val="00A71F00"/>
    <w:rsid w:val="00A71F72"/>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492"/>
    <w:rsid w:val="00A75920"/>
    <w:rsid w:val="00A75DE7"/>
    <w:rsid w:val="00A76344"/>
    <w:rsid w:val="00A7634B"/>
    <w:rsid w:val="00A763FE"/>
    <w:rsid w:val="00A764B9"/>
    <w:rsid w:val="00A76569"/>
    <w:rsid w:val="00A76696"/>
    <w:rsid w:val="00A76A52"/>
    <w:rsid w:val="00A76BF2"/>
    <w:rsid w:val="00A7707F"/>
    <w:rsid w:val="00A770A5"/>
    <w:rsid w:val="00A7735F"/>
    <w:rsid w:val="00A77DCC"/>
    <w:rsid w:val="00A806D6"/>
    <w:rsid w:val="00A8135C"/>
    <w:rsid w:val="00A81633"/>
    <w:rsid w:val="00A81694"/>
    <w:rsid w:val="00A81D9B"/>
    <w:rsid w:val="00A8221B"/>
    <w:rsid w:val="00A82508"/>
    <w:rsid w:val="00A82C1E"/>
    <w:rsid w:val="00A831F0"/>
    <w:rsid w:val="00A831FB"/>
    <w:rsid w:val="00A83309"/>
    <w:rsid w:val="00A83BF1"/>
    <w:rsid w:val="00A83CA0"/>
    <w:rsid w:val="00A83F6F"/>
    <w:rsid w:val="00A8407C"/>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2"/>
    <w:rsid w:val="00A90E27"/>
    <w:rsid w:val="00A91218"/>
    <w:rsid w:val="00A91469"/>
    <w:rsid w:val="00A9164F"/>
    <w:rsid w:val="00A91B4C"/>
    <w:rsid w:val="00A91F3E"/>
    <w:rsid w:val="00A92457"/>
    <w:rsid w:val="00A927EE"/>
    <w:rsid w:val="00A92B81"/>
    <w:rsid w:val="00A934FE"/>
    <w:rsid w:val="00A93800"/>
    <w:rsid w:val="00A938E5"/>
    <w:rsid w:val="00A93942"/>
    <w:rsid w:val="00A93BDA"/>
    <w:rsid w:val="00A93E34"/>
    <w:rsid w:val="00A93FAE"/>
    <w:rsid w:val="00A94A33"/>
    <w:rsid w:val="00A94A70"/>
    <w:rsid w:val="00A94BB8"/>
    <w:rsid w:val="00A9505F"/>
    <w:rsid w:val="00A9508C"/>
    <w:rsid w:val="00A9526D"/>
    <w:rsid w:val="00A95510"/>
    <w:rsid w:val="00A95A3E"/>
    <w:rsid w:val="00A96058"/>
    <w:rsid w:val="00A9634F"/>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8FD"/>
    <w:rsid w:val="00AA29F2"/>
    <w:rsid w:val="00AA2CD8"/>
    <w:rsid w:val="00AA2F1C"/>
    <w:rsid w:val="00AA30A2"/>
    <w:rsid w:val="00AA461D"/>
    <w:rsid w:val="00AA4C09"/>
    <w:rsid w:val="00AA4F41"/>
    <w:rsid w:val="00AA5584"/>
    <w:rsid w:val="00AA576F"/>
    <w:rsid w:val="00AA6026"/>
    <w:rsid w:val="00AA6206"/>
    <w:rsid w:val="00AA62FE"/>
    <w:rsid w:val="00AA630A"/>
    <w:rsid w:val="00AA69EF"/>
    <w:rsid w:val="00AA6F21"/>
    <w:rsid w:val="00AA6F9A"/>
    <w:rsid w:val="00AA7312"/>
    <w:rsid w:val="00AA746D"/>
    <w:rsid w:val="00AA7819"/>
    <w:rsid w:val="00AA7C4F"/>
    <w:rsid w:val="00AB001C"/>
    <w:rsid w:val="00AB02C8"/>
    <w:rsid w:val="00AB05BC"/>
    <w:rsid w:val="00AB06B8"/>
    <w:rsid w:val="00AB06E6"/>
    <w:rsid w:val="00AB0ADE"/>
    <w:rsid w:val="00AB0B59"/>
    <w:rsid w:val="00AB0CA0"/>
    <w:rsid w:val="00AB0E94"/>
    <w:rsid w:val="00AB102D"/>
    <w:rsid w:val="00AB123C"/>
    <w:rsid w:val="00AB1705"/>
    <w:rsid w:val="00AB1A33"/>
    <w:rsid w:val="00AB2548"/>
    <w:rsid w:val="00AB2857"/>
    <w:rsid w:val="00AB2EB7"/>
    <w:rsid w:val="00AB3299"/>
    <w:rsid w:val="00AB3418"/>
    <w:rsid w:val="00AB3491"/>
    <w:rsid w:val="00AB3865"/>
    <w:rsid w:val="00AB3E16"/>
    <w:rsid w:val="00AB3E3E"/>
    <w:rsid w:val="00AB3F13"/>
    <w:rsid w:val="00AB4157"/>
    <w:rsid w:val="00AB426C"/>
    <w:rsid w:val="00AB42FF"/>
    <w:rsid w:val="00AB4300"/>
    <w:rsid w:val="00AB476F"/>
    <w:rsid w:val="00AB4D67"/>
    <w:rsid w:val="00AB513E"/>
    <w:rsid w:val="00AB51DA"/>
    <w:rsid w:val="00AB53BA"/>
    <w:rsid w:val="00AB5595"/>
    <w:rsid w:val="00AB57AD"/>
    <w:rsid w:val="00AB583A"/>
    <w:rsid w:val="00AB607B"/>
    <w:rsid w:val="00AB642C"/>
    <w:rsid w:val="00AB644A"/>
    <w:rsid w:val="00AB6458"/>
    <w:rsid w:val="00AB6CA0"/>
    <w:rsid w:val="00AB76D5"/>
    <w:rsid w:val="00AB7787"/>
    <w:rsid w:val="00AB784F"/>
    <w:rsid w:val="00AB78AC"/>
    <w:rsid w:val="00AB7913"/>
    <w:rsid w:val="00AC0169"/>
    <w:rsid w:val="00AC0AEA"/>
    <w:rsid w:val="00AC0CC3"/>
    <w:rsid w:val="00AC1281"/>
    <w:rsid w:val="00AC1554"/>
    <w:rsid w:val="00AC21BA"/>
    <w:rsid w:val="00AC22C7"/>
    <w:rsid w:val="00AC281A"/>
    <w:rsid w:val="00AC2D4E"/>
    <w:rsid w:val="00AC3084"/>
    <w:rsid w:val="00AC3431"/>
    <w:rsid w:val="00AC34D7"/>
    <w:rsid w:val="00AC35F7"/>
    <w:rsid w:val="00AC38E9"/>
    <w:rsid w:val="00AC404F"/>
    <w:rsid w:val="00AC45D6"/>
    <w:rsid w:val="00AC4D1B"/>
    <w:rsid w:val="00AC4D53"/>
    <w:rsid w:val="00AC4D9E"/>
    <w:rsid w:val="00AC4E2E"/>
    <w:rsid w:val="00AC5C2A"/>
    <w:rsid w:val="00AC61B3"/>
    <w:rsid w:val="00AC63F4"/>
    <w:rsid w:val="00AC6786"/>
    <w:rsid w:val="00AC6D9F"/>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369"/>
    <w:rsid w:val="00AE14B7"/>
    <w:rsid w:val="00AE169D"/>
    <w:rsid w:val="00AE19D1"/>
    <w:rsid w:val="00AE1EFA"/>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94C"/>
    <w:rsid w:val="00AF0FFE"/>
    <w:rsid w:val="00AF1414"/>
    <w:rsid w:val="00AF14DF"/>
    <w:rsid w:val="00AF15C3"/>
    <w:rsid w:val="00AF19CD"/>
    <w:rsid w:val="00AF1DE5"/>
    <w:rsid w:val="00AF25F3"/>
    <w:rsid w:val="00AF28B0"/>
    <w:rsid w:val="00AF2DED"/>
    <w:rsid w:val="00AF3560"/>
    <w:rsid w:val="00AF3C80"/>
    <w:rsid w:val="00AF3C8C"/>
    <w:rsid w:val="00AF4095"/>
    <w:rsid w:val="00AF41FC"/>
    <w:rsid w:val="00AF4447"/>
    <w:rsid w:val="00AF457C"/>
    <w:rsid w:val="00AF4ABD"/>
    <w:rsid w:val="00AF5128"/>
    <w:rsid w:val="00AF5363"/>
    <w:rsid w:val="00AF5673"/>
    <w:rsid w:val="00AF579C"/>
    <w:rsid w:val="00AF5F78"/>
    <w:rsid w:val="00AF63A9"/>
    <w:rsid w:val="00AF6591"/>
    <w:rsid w:val="00AF66F1"/>
    <w:rsid w:val="00AF6A76"/>
    <w:rsid w:val="00AF6B1B"/>
    <w:rsid w:val="00AF6BD0"/>
    <w:rsid w:val="00AF7363"/>
    <w:rsid w:val="00AF738A"/>
    <w:rsid w:val="00AF7E8D"/>
    <w:rsid w:val="00AF7F09"/>
    <w:rsid w:val="00AF7F0E"/>
    <w:rsid w:val="00B0015C"/>
    <w:rsid w:val="00B002BA"/>
    <w:rsid w:val="00B00306"/>
    <w:rsid w:val="00B00521"/>
    <w:rsid w:val="00B0086C"/>
    <w:rsid w:val="00B00D62"/>
    <w:rsid w:val="00B010D3"/>
    <w:rsid w:val="00B0111E"/>
    <w:rsid w:val="00B018BC"/>
    <w:rsid w:val="00B01CC2"/>
    <w:rsid w:val="00B01F0D"/>
    <w:rsid w:val="00B02014"/>
    <w:rsid w:val="00B0226D"/>
    <w:rsid w:val="00B023FC"/>
    <w:rsid w:val="00B02A4C"/>
    <w:rsid w:val="00B02AD0"/>
    <w:rsid w:val="00B03101"/>
    <w:rsid w:val="00B039CE"/>
    <w:rsid w:val="00B03BB8"/>
    <w:rsid w:val="00B03D26"/>
    <w:rsid w:val="00B044DD"/>
    <w:rsid w:val="00B04AD7"/>
    <w:rsid w:val="00B04D36"/>
    <w:rsid w:val="00B04F11"/>
    <w:rsid w:val="00B04F21"/>
    <w:rsid w:val="00B0540A"/>
    <w:rsid w:val="00B0550D"/>
    <w:rsid w:val="00B05688"/>
    <w:rsid w:val="00B0588E"/>
    <w:rsid w:val="00B0610E"/>
    <w:rsid w:val="00B06771"/>
    <w:rsid w:val="00B067D5"/>
    <w:rsid w:val="00B06B15"/>
    <w:rsid w:val="00B06C77"/>
    <w:rsid w:val="00B070AD"/>
    <w:rsid w:val="00B07390"/>
    <w:rsid w:val="00B075EC"/>
    <w:rsid w:val="00B076A7"/>
    <w:rsid w:val="00B076C4"/>
    <w:rsid w:val="00B07B61"/>
    <w:rsid w:val="00B07CBE"/>
    <w:rsid w:val="00B108ED"/>
    <w:rsid w:val="00B10931"/>
    <w:rsid w:val="00B1093D"/>
    <w:rsid w:val="00B10BE8"/>
    <w:rsid w:val="00B10DF3"/>
    <w:rsid w:val="00B110D4"/>
    <w:rsid w:val="00B1167A"/>
    <w:rsid w:val="00B11882"/>
    <w:rsid w:val="00B11E29"/>
    <w:rsid w:val="00B12603"/>
    <w:rsid w:val="00B12A8C"/>
    <w:rsid w:val="00B12B64"/>
    <w:rsid w:val="00B13003"/>
    <w:rsid w:val="00B13123"/>
    <w:rsid w:val="00B137BE"/>
    <w:rsid w:val="00B13829"/>
    <w:rsid w:val="00B13F1F"/>
    <w:rsid w:val="00B14251"/>
    <w:rsid w:val="00B147CC"/>
    <w:rsid w:val="00B14994"/>
    <w:rsid w:val="00B150FE"/>
    <w:rsid w:val="00B15141"/>
    <w:rsid w:val="00B151C6"/>
    <w:rsid w:val="00B15916"/>
    <w:rsid w:val="00B16815"/>
    <w:rsid w:val="00B16B5F"/>
    <w:rsid w:val="00B16D08"/>
    <w:rsid w:val="00B16D57"/>
    <w:rsid w:val="00B1736C"/>
    <w:rsid w:val="00B174BE"/>
    <w:rsid w:val="00B17744"/>
    <w:rsid w:val="00B17D3E"/>
    <w:rsid w:val="00B17E90"/>
    <w:rsid w:val="00B20057"/>
    <w:rsid w:val="00B2043A"/>
    <w:rsid w:val="00B2063B"/>
    <w:rsid w:val="00B20CD7"/>
    <w:rsid w:val="00B20E2B"/>
    <w:rsid w:val="00B20F3D"/>
    <w:rsid w:val="00B21016"/>
    <w:rsid w:val="00B215F9"/>
    <w:rsid w:val="00B2161B"/>
    <w:rsid w:val="00B217CD"/>
    <w:rsid w:val="00B2188D"/>
    <w:rsid w:val="00B21B67"/>
    <w:rsid w:val="00B21CA7"/>
    <w:rsid w:val="00B22472"/>
    <w:rsid w:val="00B2274E"/>
    <w:rsid w:val="00B232CB"/>
    <w:rsid w:val="00B233A9"/>
    <w:rsid w:val="00B239CC"/>
    <w:rsid w:val="00B23C57"/>
    <w:rsid w:val="00B23E2E"/>
    <w:rsid w:val="00B24F49"/>
    <w:rsid w:val="00B252E9"/>
    <w:rsid w:val="00B25585"/>
    <w:rsid w:val="00B25632"/>
    <w:rsid w:val="00B2571D"/>
    <w:rsid w:val="00B2588A"/>
    <w:rsid w:val="00B25A0E"/>
    <w:rsid w:val="00B25A70"/>
    <w:rsid w:val="00B25AB2"/>
    <w:rsid w:val="00B25BD8"/>
    <w:rsid w:val="00B25E1D"/>
    <w:rsid w:val="00B25F5B"/>
    <w:rsid w:val="00B25F9A"/>
    <w:rsid w:val="00B2613A"/>
    <w:rsid w:val="00B263BE"/>
    <w:rsid w:val="00B26611"/>
    <w:rsid w:val="00B2683D"/>
    <w:rsid w:val="00B269CE"/>
    <w:rsid w:val="00B26E0A"/>
    <w:rsid w:val="00B271E3"/>
    <w:rsid w:val="00B2757B"/>
    <w:rsid w:val="00B27D54"/>
    <w:rsid w:val="00B3057A"/>
    <w:rsid w:val="00B317EB"/>
    <w:rsid w:val="00B318CB"/>
    <w:rsid w:val="00B31C72"/>
    <w:rsid w:val="00B31D0D"/>
    <w:rsid w:val="00B31E5F"/>
    <w:rsid w:val="00B322A7"/>
    <w:rsid w:val="00B32507"/>
    <w:rsid w:val="00B32607"/>
    <w:rsid w:val="00B326BE"/>
    <w:rsid w:val="00B32D91"/>
    <w:rsid w:val="00B32F7F"/>
    <w:rsid w:val="00B33126"/>
    <w:rsid w:val="00B338CE"/>
    <w:rsid w:val="00B3396B"/>
    <w:rsid w:val="00B33F7C"/>
    <w:rsid w:val="00B34390"/>
    <w:rsid w:val="00B3442C"/>
    <w:rsid w:val="00B34E56"/>
    <w:rsid w:val="00B3539A"/>
    <w:rsid w:val="00B35CB3"/>
    <w:rsid w:val="00B35F8E"/>
    <w:rsid w:val="00B37188"/>
    <w:rsid w:val="00B4003E"/>
    <w:rsid w:val="00B40292"/>
    <w:rsid w:val="00B406B2"/>
    <w:rsid w:val="00B40D73"/>
    <w:rsid w:val="00B4110D"/>
    <w:rsid w:val="00B411A3"/>
    <w:rsid w:val="00B412CB"/>
    <w:rsid w:val="00B4144A"/>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8FC"/>
    <w:rsid w:val="00B47CEF"/>
    <w:rsid w:val="00B50261"/>
    <w:rsid w:val="00B504F7"/>
    <w:rsid w:val="00B50810"/>
    <w:rsid w:val="00B50933"/>
    <w:rsid w:val="00B509C0"/>
    <w:rsid w:val="00B50E09"/>
    <w:rsid w:val="00B50FD1"/>
    <w:rsid w:val="00B51420"/>
    <w:rsid w:val="00B51526"/>
    <w:rsid w:val="00B5171B"/>
    <w:rsid w:val="00B517F1"/>
    <w:rsid w:val="00B51A40"/>
    <w:rsid w:val="00B5238F"/>
    <w:rsid w:val="00B529F2"/>
    <w:rsid w:val="00B52EC8"/>
    <w:rsid w:val="00B533BC"/>
    <w:rsid w:val="00B5370C"/>
    <w:rsid w:val="00B538FF"/>
    <w:rsid w:val="00B53EF5"/>
    <w:rsid w:val="00B542BA"/>
    <w:rsid w:val="00B545DD"/>
    <w:rsid w:val="00B54989"/>
    <w:rsid w:val="00B54CC5"/>
    <w:rsid w:val="00B553CF"/>
    <w:rsid w:val="00B555B8"/>
    <w:rsid w:val="00B558B4"/>
    <w:rsid w:val="00B55ACA"/>
    <w:rsid w:val="00B561BD"/>
    <w:rsid w:val="00B566E0"/>
    <w:rsid w:val="00B5685D"/>
    <w:rsid w:val="00B56E91"/>
    <w:rsid w:val="00B56ECD"/>
    <w:rsid w:val="00B56F22"/>
    <w:rsid w:val="00B573C4"/>
    <w:rsid w:val="00B574BA"/>
    <w:rsid w:val="00B57861"/>
    <w:rsid w:val="00B579F5"/>
    <w:rsid w:val="00B57A9C"/>
    <w:rsid w:val="00B57C21"/>
    <w:rsid w:val="00B60407"/>
    <w:rsid w:val="00B6059C"/>
    <w:rsid w:val="00B609AE"/>
    <w:rsid w:val="00B609F0"/>
    <w:rsid w:val="00B60E6E"/>
    <w:rsid w:val="00B6112D"/>
    <w:rsid w:val="00B6156C"/>
    <w:rsid w:val="00B619AF"/>
    <w:rsid w:val="00B61B85"/>
    <w:rsid w:val="00B61CFF"/>
    <w:rsid w:val="00B61D6E"/>
    <w:rsid w:val="00B61F08"/>
    <w:rsid w:val="00B61F70"/>
    <w:rsid w:val="00B6237B"/>
    <w:rsid w:val="00B62894"/>
    <w:rsid w:val="00B62A18"/>
    <w:rsid w:val="00B63870"/>
    <w:rsid w:val="00B640AB"/>
    <w:rsid w:val="00B64124"/>
    <w:rsid w:val="00B642E9"/>
    <w:rsid w:val="00B64398"/>
    <w:rsid w:val="00B64484"/>
    <w:rsid w:val="00B645F8"/>
    <w:rsid w:val="00B64A44"/>
    <w:rsid w:val="00B64F38"/>
    <w:rsid w:val="00B652B0"/>
    <w:rsid w:val="00B65771"/>
    <w:rsid w:val="00B658B3"/>
    <w:rsid w:val="00B664EC"/>
    <w:rsid w:val="00B66801"/>
    <w:rsid w:val="00B668B4"/>
    <w:rsid w:val="00B66FFC"/>
    <w:rsid w:val="00B6796C"/>
    <w:rsid w:val="00B67B2B"/>
    <w:rsid w:val="00B7001D"/>
    <w:rsid w:val="00B7021B"/>
    <w:rsid w:val="00B70333"/>
    <w:rsid w:val="00B70A49"/>
    <w:rsid w:val="00B70CA8"/>
    <w:rsid w:val="00B70EDB"/>
    <w:rsid w:val="00B71913"/>
    <w:rsid w:val="00B71A5D"/>
    <w:rsid w:val="00B7273B"/>
    <w:rsid w:val="00B727B8"/>
    <w:rsid w:val="00B7325A"/>
    <w:rsid w:val="00B73453"/>
    <w:rsid w:val="00B737C7"/>
    <w:rsid w:val="00B73E00"/>
    <w:rsid w:val="00B73E31"/>
    <w:rsid w:val="00B7460C"/>
    <w:rsid w:val="00B74A0D"/>
    <w:rsid w:val="00B74EC0"/>
    <w:rsid w:val="00B75519"/>
    <w:rsid w:val="00B75542"/>
    <w:rsid w:val="00B75667"/>
    <w:rsid w:val="00B75A5C"/>
    <w:rsid w:val="00B75D18"/>
    <w:rsid w:val="00B75EDC"/>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F3A"/>
    <w:rsid w:val="00B830F7"/>
    <w:rsid w:val="00B8321E"/>
    <w:rsid w:val="00B837F5"/>
    <w:rsid w:val="00B83AC3"/>
    <w:rsid w:val="00B83DAC"/>
    <w:rsid w:val="00B83DF6"/>
    <w:rsid w:val="00B84BE8"/>
    <w:rsid w:val="00B855A8"/>
    <w:rsid w:val="00B85837"/>
    <w:rsid w:val="00B85E85"/>
    <w:rsid w:val="00B85F67"/>
    <w:rsid w:val="00B86557"/>
    <w:rsid w:val="00B86D87"/>
    <w:rsid w:val="00B86EC4"/>
    <w:rsid w:val="00B87AF3"/>
    <w:rsid w:val="00B87C60"/>
    <w:rsid w:val="00B90165"/>
    <w:rsid w:val="00B912E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85"/>
    <w:rsid w:val="00B96DA2"/>
    <w:rsid w:val="00B977E6"/>
    <w:rsid w:val="00BA067F"/>
    <w:rsid w:val="00BA0B82"/>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A56"/>
    <w:rsid w:val="00BA4C70"/>
    <w:rsid w:val="00BA4CF4"/>
    <w:rsid w:val="00BA54FB"/>
    <w:rsid w:val="00BA5863"/>
    <w:rsid w:val="00BA5C97"/>
    <w:rsid w:val="00BA5EFB"/>
    <w:rsid w:val="00BA6230"/>
    <w:rsid w:val="00BA659A"/>
    <w:rsid w:val="00BA68C1"/>
    <w:rsid w:val="00BA6D50"/>
    <w:rsid w:val="00BA712E"/>
    <w:rsid w:val="00BA7423"/>
    <w:rsid w:val="00BA7688"/>
    <w:rsid w:val="00BA77D9"/>
    <w:rsid w:val="00BA7EB0"/>
    <w:rsid w:val="00BB007A"/>
    <w:rsid w:val="00BB008F"/>
    <w:rsid w:val="00BB0528"/>
    <w:rsid w:val="00BB070E"/>
    <w:rsid w:val="00BB0D75"/>
    <w:rsid w:val="00BB1286"/>
    <w:rsid w:val="00BB19DE"/>
    <w:rsid w:val="00BB1AAC"/>
    <w:rsid w:val="00BB1C4F"/>
    <w:rsid w:val="00BB20E7"/>
    <w:rsid w:val="00BB225D"/>
    <w:rsid w:val="00BB24C8"/>
    <w:rsid w:val="00BB277B"/>
    <w:rsid w:val="00BB2835"/>
    <w:rsid w:val="00BB365A"/>
    <w:rsid w:val="00BB37B0"/>
    <w:rsid w:val="00BB3A61"/>
    <w:rsid w:val="00BB3D91"/>
    <w:rsid w:val="00BB3F4C"/>
    <w:rsid w:val="00BB4A42"/>
    <w:rsid w:val="00BB4C0E"/>
    <w:rsid w:val="00BB5075"/>
    <w:rsid w:val="00BB5321"/>
    <w:rsid w:val="00BB55C2"/>
    <w:rsid w:val="00BB56F2"/>
    <w:rsid w:val="00BB57E0"/>
    <w:rsid w:val="00BB5846"/>
    <w:rsid w:val="00BB61DC"/>
    <w:rsid w:val="00BB6258"/>
    <w:rsid w:val="00BB6431"/>
    <w:rsid w:val="00BB645D"/>
    <w:rsid w:val="00BB6472"/>
    <w:rsid w:val="00BB65B9"/>
    <w:rsid w:val="00BB71EC"/>
    <w:rsid w:val="00BB724B"/>
    <w:rsid w:val="00BB740F"/>
    <w:rsid w:val="00BB7DB1"/>
    <w:rsid w:val="00BC0AE6"/>
    <w:rsid w:val="00BC16BF"/>
    <w:rsid w:val="00BC1B4B"/>
    <w:rsid w:val="00BC201A"/>
    <w:rsid w:val="00BC2A09"/>
    <w:rsid w:val="00BC2BC7"/>
    <w:rsid w:val="00BC2F45"/>
    <w:rsid w:val="00BC344E"/>
    <w:rsid w:val="00BC38B8"/>
    <w:rsid w:val="00BC3CF8"/>
    <w:rsid w:val="00BC4B9C"/>
    <w:rsid w:val="00BC4D50"/>
    <w:rsid w:val="00BC5181"/>
    <w:rsid w:val="00BC5307"/>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86D"/>
    <w:rsid w:val="00BD0FC4"/>
    <w:rsid w:val="00BD1122"/>
    <w:rsid w:val="00BD1276"/>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9AA"/>
    <w:rsid w:val="00BD5A26"/>
    <w:rsid w:val="00BD5A74"/>
    <w:rsid w:val="00BD5D4D"/>
    <w:rsid w:val="00BD614C"/>
    <w:rsid w:val="00BD6509"/>
    <w:rsid w:val="00BD689C"/>
    <w:rsid w:val="00BD6909"/>
    <w:rsid w:val="00BD6A22"/>
    <w:rsid w:val="00BD7578"/>
    <w:rsid w:val="00BD76A3"/>
    <w:rsid w:val="00BD78B8"/>
    <w:rsid w:val="00BD7A82"/>
    <w:rsid w:val="00BD7F9E"/>
    <w:rsid w:val="00BE072F"/>
    <w:rsid w:val="00BE0C3B"/>
    <w:rsid w:val="00BE0DCA"/>
    <w:rsid w:val="00BE13B8"/>
    <w:rsid w:val="00BE197A"/>
    <w:rsid w:val="00BE1A06"/>
    <w:rsid w:val="00BE215E"/>
    <w:rsid w:val="00BE2E99"/>
    <w:rsid w:val="00BE3412"/>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A7"/>
    <w:rsid w:val="00BF04B1"/>
    <w:rsid w:val="00BF0963"/>
    <w:rsid w:val="00BF0A66"/>
    <w:rsid w:val="00BF0CB3"/>
    <w:rsid w:val="00BF10D2"/>
    <w:rsid w:val="00BF10D6"/>
    <w:rsid w:val="00BF120B"/>
    <w:rsid w:val="00BF1309"/>
    <w:rsid w:val="00BF153C"/>
    <w:rsid w:val="00BF18B9"/>
    <w:rsid w:val="00BF1B70"/>
    <w:rsid w:val="00BF1FA2"/>
    <w:rsid w:val="00BF220D"/>
    <w:rsid w:val="00BF2817"/>
    <w:rsid w:val="00BF2C65"/>
    <w:rsid w:val="00BF31CB"/>
    <w:rsid w:val="00BF3485"/>
    <w:rsid w:val="00BF3AE6"/>
    <w:rsid w:val="00BF3C10"/>
    <w:rsid w:val="00BF46F1"/>
    <w:rsid w:val="00BF4923"/>
    <w:rsid w:val="00BF4B69"/>
    <w:rsid w:val="00BF5350"/>
    <w:rsid w:val="00BF551E"/>
    <w:rsid w:val="00BF55D0"/>
    <w:rsid w:val="00BF5623"/>
    <w:rsid w:val="00BF56A8"/>
    <w:rsid w:val="00BF60E3"/>
    <w:rsid w:val="00BF6597"/>
    <w:rsid w:val="00BF6FBF"/>
    <w:rsid w:val="00BF70A1"/>
    <w:rsid w:val="00BF70F8"/>
    <w:rsid w:val="00BF7CDD"/>
    <w:rsid w:val="00BF7D43"/>
    <w:rsid w:val="00C007CA"/>
    <w:rsid w:val="00C00BC2"/>
    <w:rsid w:val="00C00F1A"/>
    <w:rsid w:val="00C010F5"/>
    <w:rsid w:val="00C01835"/>
    <w:rsid w:val="00C01B83"/>
    <w:rsid w:val="00C01DFD"/>
    <w:rsid w:val="00C020B4"/>
    <w:rsid w:val="00C02192"/>
    <w:rsid w:val="00C0279C"/>
    <w:rsid w:val="00C02C95"/>
    <w:rsid w:val="00C02CDE"/>
    <w:rsid w:val="00C03AAB"/>
    <w:rsid w:val="00C03B7B"/>
    <w:rsid w:val="00C03C30"/>
    <w:rsid w:val="00C04339"/>
    <w:rsid w:val="00C0465D"/>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321"/>
    <w:rsid w:val="00C1157C"/>
    <w:rsid w:val="00C11C33"/>
    <w:rsid w:val="00C11C73"/>
    <w:rsid w:val="00C11FE5"/>
    <w:rsid w:val="00C11FF6"/>
    <w:rsid w:val="00C12068"/>
    <w:rsid w:val="00C12EB5"/>
    <w:rsid w:val="00C1328A"/>
    <w:rsid w:val="00C13504"/>
    <w:rsid w:val="00C13C8A"/>
    <w:rsid w:val="00C13F22"/>
    <w:rsid w:val="00C140FE"/>
    <w:rsid w:val="00C14195"/>
    <w:rsid w:val="00C14346"/>
    <w:rsid w:val="00C144D7"/>
    <w:rsid w:val="00C14691"/>
    <w:rsid w:val="00C1473E"/>
    <w:rsid w:val="00C14EF8"/>
    <w:rsid w:val="00C15135"/>
    <w:rsid w:val="00C15902"/>
    <w:rsid w:val="00C159ED"/>
    <w:rsid w:val="00C15D8C"/>
    <w:rsid w:val="00C16386"/>
    <w:rsid w:val="00C165C6"/>
    <w:rsid w:val="00C1662C"/>
    <w:rsid w:val="00C16813"/>
    <w:rsid w:val="00C16B16"/>
    <w:rsid w:val="00C16B6A"/>
    <w:rsid w:val="00C17099"/>
    <w:rsid w:val="00C170AE"/>
    <w:rsid w:val="00C173EB"/>
    <w:rsid w:val="00C17593"/>
    <w:rsid w:val="00C176B6"/>
    <w:rsid w:val="00C17D7E"/>
    <w:rsid w:val="00C17D89"/>
    <w:rsid w:val="00C17DC9"/>
    <w:rsid w:val="00C202D5"/>
    <w:rsid w:val="00C2068D"/>
    <w:rsid w:val="00C206C4"/>
    <w:rsid w:val="00C206EC"/>
    <w:rsid w:val="00C207CE"/>
    <w:rsid w:val="00C20A2D"/>
    <w:rsid w:val="00C20DD5"/>
    <w:rsid w:val="00C20F2A"/>
    <w:rsid w:val="00C21791"/>
    <w:rsid w:val="00C21AB7"/>
    <w:rsid w:val="00C222B2"/>
    <w:rsid w:val="00C226CE"/>
    <w:rsid w:val="00C22703"/>
    <w:rsid w:val="00C227E3"/>
    <w:rsid w:val="00C2290A"/>
    <w:rsid w:val="00C2295E"/>
    <w:rsid w:val="00C23240"/>
    <w:rsid w:val="00C232DD"/>
    <w:rsid w:val="00C23452"/>
    <w:rsid w:val="00C239ED"/>
    <w:rsid w:val="00C2423A"/>
    <w:rsid w:val="00C244D8"/>
    <w:rsid w:val="00C24789"/>
    <w:rsid w:val="00C24EE5"/>
    <w:rsid w:val="00C250CF"/>
    <w:rsid w:val="00C2544D"/>
    <w:rsid w:val="00C25EE1"/>
    <w:rsid w:val="00C26871"/>
    <w:rsid w:val="00C2695A"/>
    <w:rsid w:val="00C26EB2"/>
    <w:rsid w:val="00C27156"/>
    <w:rsid w:val="00C274BE"/>
    <w:rsid w:val="00C275D9"/>
    <w:rsid w:val="00C2769D"/>
    <w:rsid w:val="00C27A94"/>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157"/>
    <w:rsid w:val="00C32478"/>
    <w:rsid w:val="00C3260A"/>
    <w:rsid w:val="00C32BB7"/>
    <w:rsid w:val="00C32CCE"/>
    <w:rsid w:val="00C32DF9"/>
    <w:rsid w:val="00C33053"/>
    <w:rsid w:val="00C33130"/>
    <w:rsid w:val="00C33560"/>
    <w:rsid w:val="00C337EC"/>
    <w:rsid w:val="00C339DE"/>
    <w:rsid w:val="00C33AA7"/>
    <w:rsid w:val="00C33DCE"/>
    <w:rsid w:val="00C3463A"/>
    <w:rsid w:val="00C346BB"/>
    <w:rsid w:val="00C346C1"/>
    <w:rsid w:val="00C34758"/>
    <w:rsid w:val="00C34BDB"/>
    <w:rsid w:val="00C34C05"/>
    <w:rsid w:val="00C34D4B"/>
    <w:rsid w:val="00C34D69"/>
    <w:rsid w:val="00C34F16"/>
    <w:rsid w:val="00C351D2"/>
    <w:rsid w:val="00C3566B"/>
    <w:rsid w:val="00C35B23"/>
    <w:rsid w:val="00C36050"/>
    <w:rsid w:val="00C361B0"/>
    <w:rsid w:val="00C367B9"/>
    <w:rsid w:val="00C36DAD"/>
    <w:rsid w:val="00C37050"/>
    <w:rsid w:val="00C37CA6"/>
    <w:rsid w:val="00C37F8D"/>
    <w:rsid w:val="00C4014D"/>
    <w:rsid w:val="00C4018E"/>
    <w:rsid w:val="00C404D5"/>
    <w:rsid w:val="00C40781"/>
    <w:rsid w:val="00C40841"/>
    <w:rsid w:val="00C40B7D"/>
    <w:rsid w:val="00C40CD4"/>
    <w:rsid w:val="00C41057"/>
    <w:rsid w:val="00C411E2"/>
    <w:rsid w:val="00C416D1"/>
    <w:rsid w:val="00C41D2B"/>
    <w:rsid w:val="00C41E8D"/>
    <w:rsid w:val="00C42130"/>
    <w:rsid w:val="00C42784"/>
    <w:rsid w:val="00C427B9"/>
    <w:rsid w:val="00C429E1"/>
    <w:rsid w:val="00C42E80"/>
    <w:rsid w:val="00C4301B"/>
    <w:rsid w:val="00C439F0"/>
    <w:rsid w:val="00C43CE7"/>
    <w:rsid w:val="00C44162"/>
    <w:rsid w:val="00C44189"/>
    <w:rsid w:val="00C447FB"/>
    <w:rsid w:val="00C449AB"/>
    <w:rsid w:val="00C44F96"/>
    <w:rsid w:val="00C44FF2"/>
    <w:rsid w:val="00C452C2"/>
    <w:rsid w:val="00C4587D"/>
    <w:rsid w:val="00C45C66"/>
    <w:rsid w:val="00C45EA5"/>
    <w:rsid w:val="00C464A1"/>
    <w:rsid w:val="00C46C33"/>
    <w:rsid w:val="00C470AA"/>
    <w:rsid w:val="00C476E4"/>
    <w:rsid w:val="00C47AE8"/>
    <w:rsid w:val="00C47B93"/>
    <w:rsid w:val="00C47BDE"/>
    <w:rsid w:val="00C47EC4"/>
    <w:rsid w:val="00C508B7"/>
    <w:rsid w:val="00C509D3"/>
    <w:rsid w:val="00C510B8"/>
    <w:rsid w:val="00C5144D"/>
    <w:rsid w:val="00C51696"/>
    <w:rsid w:val="00C5193F"/>
    <w:rsid w:val="00C51D11"/>
    <w:rsid w:val="00C51D30"/>
    <w:rsid w:val="00C51F21"/>
    <w:rsid w:val="00C521CD"/>
    <w:rsid w:val="00C52549"/>
    <w:rsid w:val="00C5257E"/>
    <w:rsid w:val="00C52670"/>
    <w:rsid w:val="00C52DD4"/>
    <w:rsid w:val="00C531B4"/>
    <w:rsid w:val="00C531B7"/>
    <w:rsid w:val="00C532F9"/>
    <w:rsid w:val="00C5334F"/>
    <w:rsid w:val="00C53E22"/>
    <w:rsid w:val="00C5432F"/>
    <w:rsid w:val="00C54C14"/>
    <w:rsid w:val="00C54C62"/>
    <w:rsid w:val="00C54CBD"/>
    <w:rsid w:val="00C54CDD"/>
    <w:rsid w:val="00C5589B"/>
    <w:rsid w:val="00C55A58"/>
    <w:rsid w:val="00C55E23"/>
    <w:rsid w:val="00C5638E"/>
    <w:rsid w:val="00C56918"/>
    <w:rsid w:val="00C569CA"/>
    <w:rsid w:val="00C56F7A"/>
    <w:rsid w:val="00C571C0"/>
    <w:rsid w:val="00C5733A"/>
    <w:rsid w:val="00C57CC6"/>
    <w:rsid w:val="00C57D43"/>
    <w:rsid w:val="00C57F05"/>
    <w:rsid w:val="00C601EB"/>
    <w:rsid w:val="00C602DB"/>
    <w:rsid w:val="00C603EA"/>
    <w:rsid w:val="00C60549"/>
    <w:rsid w:val="00C60708"/>
    <w:rsid w:val="00C60EC1"/>
    <w:rsid w:val="00C613E1"/>
    <w:rsid w:val="00C619CD"/>
    <w:rsid w:val="00C61B5A"/>
    <w:rsid w:val="00C61D30"/>
    <w:rsid w:val="00C61EE5"/>
    <w:rsid w:val="00C62027"/>
    <w:rsid w:val="00C62997"/>
    <w:rsid w:val="00C62B6E"/>
    <w:rsid w:val="00C63152"/>
    <w:rsid w:val="00C63169"/>
    <w:rsid w:val="00C633AB"/>
    <w:rsid w:val="00C6343A"/>
    <w:rsid w:val="00C636B0"/>
    <w:rsid w:val="00C63BD7"/>
    <w:rsid w:val="00C64849"/>
    <w:rsid w:val="00C64CEA"/>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F34"/>
    <w:rsid w:val="00C70366"/>
    <w:rsid w:val="00C70400"/>
    <w:rsid w:val="00C7040D"/>
    <w:rsid w:val="00C70997"/>
    <w:rsid w:val="00C70B8C"/>
    <w:rsid w:val="00C71327"/>
    <w:rsid w:val="00C71468"/>
    <w:rsid w:val="00C714AD"/>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6DF"/>
    <w:rsid w:val="00C7799E"/>
    <w:rsid w:val="00C77D37"/>
    <w:rsid w:val="00C80441"/>
    <w:rsid w:val="00C80547"/>
    <w:rsid w:val="00C80CD8"/>
    <w:rsid w:val="00C80DB5"/>
    <w:rsid w:val="00C8198E"/>
    <w:rsid w:val="00C81B30"/>
    <w:rsid w:val="00C81D91"/>
    <w:rsid w:val="00C8220B"/>
    <w:rsid w:val="00C82387"/>
    <w:rsid w:val="00C823D0"/>
    <w:rsid w:val="00C831FC"/>
    <w:rsid w:val="00C8395C"/>
    <w:rsid w:val="00C83D50"/>
    <w:rsid w:val="00C840D4"/>
    <w:rsid w:val="00C84231"/>
    <w:rsid w:val="00C847C8"/>
    <w:rsid w:val="00C84D5A"/>
    <w:rsid w:val="00C85034"/>
    <w:rsid w:val="00C8534D"/>
    <w:rsid w:val="00C85F12"/>
    <w:rsid w:val="00C86379"/>
    <w:rsid w:val="00C86481"/>
    <w:rsid w:val="00C864DB"/>
    <w:rsid w:val="00C8669B"/>
    <w:rsid w:val="00C86A4C"/>
    <w:rsid w:val="00C870BA"/>
    <w:rsid w:val="00C8781D"/>
    <w:rsid w:val="00C878E9"/>
    <w:rsid w:val="00C87AF9"/>
    <w:rsid w:val="00C901A9"/>
    <w:rsid w:val="00C9047A"/>
    <w:rsid w:val="00C905AC"/>
    <w:rsid w:val="00C9065E"/>
    <w:rsid w:val="00C90912"/>
    <w:rsid w:val="00C909C8"/>
    <w:rsid w:val="00C90B43"/>
    <w:rsid w:val="00C90C65"/>
    <w:rsid w:val="00C90C82"/>
    <w:rsid w:val="00C90F7A"/>
    <w:rsid w:val="00C911EF"/>
    <w:rsid w:val="00C91450"/>
    <w:rsid w:val="00C91CFB"/>
    <w:rsid w:val="00C91FAC"/>
    <w:rsid w:val="00C9220C"/>
    <w:rsid w:val="00C922C5"/>
    <w:rsid w:val="00C92352"/>
    <w:rsid w:val="00C923B7"/>
    <w:rsid w:val="00C927AB"/>
    <w:rsid w:val="00C92C2A"/>
    <w:rsid w:val="00C9318C"/>
    <w:rsid w:val="00C93297"/>
    <w:rsid w:val="00C93543"/>
    <w:rsid w:val="00C94051"/>
    <w:rsid w:val="00C945EC"/>
    <w:rsid w:val="00C94613"/>
    <w:rsid w:val="00C94650"/>
    <w:rsid w:val="00C94B58"/>
    <w:rsid w:val="00C94BBA"/>
    <w:rsid w:val="00C94E45"/>
    <w:rsid w:val="00C95300"/>
    <w:rsid w:val="00C95548"/>
    <w:rsid w:val="00C955F6"/>
    <w:rsid w:val="00C95656"/>
    <w:rsid w:val="00C95730"/>
    <w:rsid w:val="00C957F5"/>
    <w:rsid w:val="00C95953"/>
    <w:rsid w:val="00C95962"/>
    <w:rsid w:val="00C959AA"/>
    <w:rsid w:val="00C95EC0"/>
    <w:rsid w:val="00C9603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EB"/>
    <w:rsid w:val="00CA3827"/>
    <w:rsid w:val="00CA3DB2"/>
    <w:rsid w:val="00CA40DD"/>
    <w:rsid w:val="00CA41A3"/>
    <w:rsid w:val="00CA4586"/>
    <w:rsid w:val="00CA49C0"/>
    <w:rsid w:val="00CA4A24"/>
    <w:rsid w:val="00CA4A3F"/>
    <w:rsid w:val="00CA4C14"/>
    <w:rsid w:val="00CA4D19"/>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4DE"/>
    <w:rsid w:val="00CB2655"/>
    <w:rsid w:val="00CB27D1"/>
    <w:rsid w:val="00CB299C"/>
    <w:rsid w:val="00CB2BBA"/>
    <w:rsid w:val="00CB2E2D"/>
    <w:rsid w:val="00CB35ED"/>
    <w:rsid w:val="00CB39EB"/>
    <w:rsid w:val="00CB41E7"/>
    <w:rsid w:val="00CB42F8"/>
    <w:rsid w:val="00CB480A"/>
    <w:rsid w:val="00CB4FA5"/>
    <w:rsid w:val="00CB5008"/>
    <w:rsid w:val="00CB58DD"/>
    <w:rsid w:val="00CB59CB"/>
    <w:rsid w:val="00CB5CF1"/>
    <w:rsid w:val="00CB6343"/>
    <w:rsid w:val="00CB6517"/>
    <w:rsid w:val="00CB7648"/>
    <w:rsid w:val="00CB797B"/>
    <w:rsid w:val="00CB79A4"/>
    <w:rsid w:val="00CB7B6B"/>
    <w:rsid w:val="00CB7F5F"/>
    <w:rsid w:val="00CC00B6"/>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2F39"/>
    <w:rsid w:val="00CC32B0"/>
    <w:rsid w:val="00CC34E2"/>
    <w:rsid w:val="00CC3983"/>
    <w:rsid w:val="00CC3D8D"/>
    <w:rsid w:val="00CC3E8C"/>
    <w:rsid w:val="00CC400F"/>
    <w:rsid w:val="00CC4365"/>
    <w:rsid w:val="00CC4401"/>
    <w:rsid w:val="00CC4C5E"/>
    <w:rsid w:val="00CC4C9E"/>
    <w:rsid w:val="00CC4CD7"/>
    <w:rsid w:val="00CC4F58"/>
    <w:rsid w:val="00CC57AE"/>
    <w:rsid w:val="00CC606C"/>
    <w:rsid w:val="00CC620F"/>
    <w:rsid w:val="00CC6315"/>
    <w:rsid w:val="00CC6B1F"/>
    <w:rsid w:val="00CC728B"/>
    <w:rsid w:val="00CC7356"/>
    <w:rsid w:val="00CC74D5"/>
    <w:rsid w:val="00CC74E5"/>
    <w:rsid w:val="00CC7A6D"/>
    <w:rsid w:val="00CC7DF5"/>
    <w:rsid w:val="00CD04B6"/>
    <w:rsid w:val="00CD0740"/>
    <w:rsid w:val="00CD0768"/>
    <w:rsid w:val="00CD0822"/>
    <w:rsid w:val="00CD0B87"/>
    <w:rsid w:val="00CD0E01"/>
    <w:rsid w:val="00CD14CB"/>
    <w:rsid w:val="00CD179D"/>
    <w:rsid w:val="00CD17F4"/>
    <w:rsid w:val="00CD1E74"/>
    <w:rsid w:val="00CD2585"/>
    <w:rsid w:val="00CD283A"/>
    <w:rsid w:val="00CD2D38"/>
    <w:rsid w:val="00CD309B"/>
    <w:rsid w:val="00CD3122"/>
    <w:rsid w:val="00CD325D"/>
    <w:rsid w:val="00CD3372"/>
    <w:rsid w:val="00CD3421"/>
    <w:rsid w:val="00CD3B95"/>
    <w:rsid w:val="00CD3C3B"/>
    <w:rsid w:val="00CD3D0C"/>
    <w:rsid w:val="00CD3D4B"/>
    <w:rsid w:val="00CD3F09"/>
    <w:rsid w:val="00CD3FAF"/>
    <w:rsid w:val="00CD4291"/>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2801"/>
    <w:rsid w:val="00CE3257"/>
    <w:rsid w:val="00CE38AA"/>
    <w:rsid w:val="00CE3CDC"/>
    <w:rsid w:val="00CE3D16"/>
    <w:rsid w:val="00CE3D41"/>
    <w:rsid w:val="00CE3FBA"/>
    <w:rsid w:val="00CE44B7"/>
    <w:rsid w:val="00CE44E8"/>
    <w:rsid w:val="00CE5386"/>
    <w:rsid w:val="00CE53A7"/>
    <w:rsid w:val="00CE5CB1"/>
    <w:rsid w:val="00CE5E50"/>
    <w:rsid w:val="00CE630B"/>
    <w:rsid w:val="00CE6569"/>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0D9"/>
    <w:rsid w:val="00CF2639"/>
    <w:rsid w:val="00CF2EF5"/>
    <w:rsid w:val="00CF2FBF"/>
    <w:rsid w:val="00CF31DC"/>
    <w:rsid w:val="00CF33BA"/>
    <w:rsid w:val="00CF3521"/>
    <w:rsid w:val="00CF3E2B"/>
    <w:rsid w:val="00CF3F01"/>
    <w:rsid w:val="00CF4022"/>
    <w:rsid w:val="00CF4050"/>
    <w:rsid w:val="00CF41AE"/>
    <w:rsid w:val="00CF4755"/>
    <w:rsid w:val="00CF47DE"/>
    <w:rsid w:val="00CF495B"/>
    <w:rsid w:val="00CF4B3B"/>
    <w:rsid w:val="00CF4F02"/>
    <w:rsid w:val="00CF4F88"/>
    <w:rsid w:val="00CF5EE9"/>
    <w:rsid w:val="00CF61A3"/>
    <w:rsid w:val="00CF66DE"/>
    <w:rsid w:val="00CF676B"/>
    <w:rsid w:val="00CF6848"/>
    <w:rsid w:val="00CF6AF3"/>
    <w:rsid w:val="00CF6C9A"/>
    <w:rsid w:val="00CF74F6"/>
    <w:rsid w:val="00CF76AE"/>
    <w:rsid w:val="00CF7CCF"/>
    <w:rsid w:val="00CF7D8D"/>
    <w:rsid w:val="00D00096"/>
    <w:rsid w:val="00D0033A"/>
    <w:rsid w:val="00D00522"/>
    <w:rsid w:val="00D00B22"/>
    <w:rsid w:val="00D00FCA"/>
    <w:rsid w:val="00D01640"/>
    <w:rsid w:val="00D017EE"/>
    <w:rsid w:val="00D01C73"/>
    <w:rsid w:val="00D021B4"/>
    <w:rsid w:val="00D02369"/>
    <w:rsid w:val="00D02AFC"/>
    <w:rsid w:val="00D02B70"/>
    <w:rsid w:val="00D02C36"/>
    <w:rsid w:val="00D02E17"/>
    <w:rsid w:val="00D02F2F"/>
    <w:rsid w:val="00D0321D"/>
    <w:rsid w:val="00D039A0"/>
    <w:rsid w:val="00D04A63"/>
    <w:rsid w:val="00D04FC8"/>
    <w:rsid w:val="00D050BA"/>
    <w:rsid w:val="00D05B47"/>
    <w:rsid w:val="00D05C5C"/>
    <w:rsid w:val="00D05F62"/>
    <w:rsid w:val="00D05FD4"/>
    <w:rsid w:val="00D06088"/>
    <w:rsid w:val="00D0675C"/>
    <w:rsid w:val="00D06800"/>
    <w:rsid w:val="00D06B22"/>
    <w:rsid w:val="00D06DED"/>
    <w:rsid w:val="00D070AD"/>
    <w:rsid w:val="00D073D1"/>
    <w:rsid w:val="00D073F8"/>
    <w:rsid w:val="00D078A7"/>
    <w:rsid w:val="00D078A9"/>
    <w:rsid w:val="00D078C9"/>
    <w:rsid w:val="00D07A62"/>
    <w:rsid w:val="00D07BEB"/>
    <w:rsid w:val="00D07D73"/>
    <w:rsid w:val="00D07D83"/>
    <w:rsid w:val="00D07DCA"/>
    <w:rsid w:val="00D07E5F"/>
    <w:rsid w:val="00D1023A"/>
    <w:rsid w:val="00D1127F"/>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957"/>
    <w:rsid w:val="00D13B3F"/>
    <w:rsid w:val="00D13BBC"/>
    <w:rsid w:val="00D13F9F"/>
    <w:rsid w:val="00D14204"/>
    <w:rsid w:val="00D14728"/>
    <w:rsid w:val="00D1478F"/>
    <w:rsid w:val="00D14D0C"/>
    <w:rsid w:val="00D14DE5"/>
    <w:rsid w:val="00D1552A"/>
    <w:rsid w:val="00D15D9D"/>
    <w:rsid w:val="00D16198"/>
    <w:rsid w:val="00D1624D"/>
    <w:rsid w:val="00D16996"/>
    <w:rsid w:val="00D17725"/>
    <w:rsid w:val="00D17869"/>
    <w:rsid w:val="00D1792B"/>
    <w:rsid w:val="00D17E93"/>
    <w:rsid w:val="00D17F37"/>
    <w:rsid w:val="00D202D3"/>
    <w:rsid w:val="00D2171B"/>
    <w:rsid w:val="00D217CE"/>
    <w:rsid w:val="00D21A77"/>
    <w:rsid w:val="00D21E67"/>
    <w:rsid w:val="00D22148"/>
    <w:rsid w:val="00D22166"/>
    <w:rsid w:val="00D229A3"/>
    <w:rsid w:val="00D22D40"/>
    <w:rsid w:val="00D2348D"/>
    <w:rsid w:val="00D23556"/>
    <w:rsid w:val="00D239F9"/>
    <w:rsid w:val="00D23A1F"/>
    <w:rsid w:val="00D23B89"/>
    <w:rsid w:val="00D23CE2"/>
    <w:rsid w:val="00D2406F"/>
    <w:rsid w:val="00D244D5"/>
    <w:rsid w:val="00D24D04"/>
    <w:rsid w:val="00D2502C"/>
    <w:rsid w:val="00D25866"/>
    <w:rsid w:val="00D25A61"/>
    <w:rsid w:val="00D25E03"/>
    <w:rsid w:val="00D261FB"/>
    <w:rsid w:val="00D26283"/>
    <w:rsid w:val="00D263B5"/>
    <w:rsid w:val="00D26586"/>
    <w:rsid w:val="00D2664C"/>
    <w:rsid w:val="00D2670D"/>
    <w:rsid w:val="00D26B2E"/>
    <w:rsid w:val="00D26DBE"/>
    <w:rsid w:val="00D27AAD"/>
    <w:rsid w:val="00D27C9B"/>
    <w:rsid w:val="00D27F01"/>
    <w:rsid w:val="00D30231"/>
    <w:rsid w:val="00D30373"/>
    <w:rsid w:val="00D309B2"/>
    <w:rsid w:val="00D309D3"/>
    <w:rsid w:val="00D30C46"/>
    <w:rsid w:val="00D30FC7"/>
    <w:rsid w:val="00D31B9F"/>
    <w:rsid w:val="00D31BEA"/>
    <w:rsid w:val="00D31CEF"/>
    <w:rsid w:val="00D31ECA"/>
    <w:rsid w:val="00D32A9F"/>
    <w:rsid w:val="00D33313"/>
    <w:rsid w:val="00D333D7"/>
    <w:rsid w:val="00D33410"/>
    <w:rsid w:val="00D33418"/>
    <w:rsid w:val="00D33458"/>
    <w:rsid w:val="00D33AFC"/>
    <w:rsid w:val="00D33C0E"/>
    <w:rsid w:val="00D33CED"/>
    <w:rsid w:val="00D3410B"/>
    <w:rsid w:val="00D344C9"/>
    <w:rsid w:val="00D3517D"/>
    <w:rsid w:val="00D35815"/>
    <w:rsid w:val="00D358B2"/>
    <w:rsid w:val="00D359BB"/>
    <w:rsid w:val="00D35AF0"/>
    <w:rsid w:val="00D35FCC"/>
    <w:rsid w:val="00D3609F"/>
    <w:rsid w:val="00D3610A"/>
    <w:rsid w:val="00D366C8"/>
    <w:rsid w:val="00D36885"/>
    <w:rsid w:val="00D368C6"/>
    <w:rsid w:val="00D36C8E"/>
    <w:rsid w:val="00D36D5A"/>
    <w:rsid w:val="00D37A26"/>
    <w:rsid w:val="00D37C2D"/>
    <w:rsid w:val="00D4039F"/>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BEF"/>
    <w:rsid w:val="00D42BFF"/>
    <w:rsid w:val="00D42D5D"/>
    <w:rsid w:val="00D42EAD"/>
    <w:rsid w:val="00D43888"/>
    <w:rsid w:val="00D4429F"/>
    <w:rsid w:val="00D44A5C"/>
    <w:rsid w:val="00D454F9"/>
    <w:rsid w:val="00D45B68"/>
    <w:rsid w:val="00D45D24"/>
    <w:rsid w:val="00D45F6C"/>
    <w:rsid w:val="00D466E5"/>
    <w:rsid w:val="00D467C7"/>
    <w:rsid w:val="00D4688E"/>
    <w:rsid w:val="00D46E3E"/>
    <w:rsid w:val="00D46F2D"/>
    <w:rsid w:val="00D470C1"/>
    <w:rsid w:val="00D47151"/>
    <w:rsid w:val="00D471EF"/>
    <w:rsid w:val="00D475CC"/>
    <w:rsid w:val="00D477E2"/>
    <w:rsid w:val="00D4785C"/>
    <w:rsid w:val="00D47A34"/>
    <w:rsid w:val="00D5044A"/>
    <w:rsid w:val="00D504CF"/>
    <w:rsid w:val="00D50C82"/>
    <w:rsid w:val="00D50F95"/>
    <w:rsid w:val="00D5102A"/>
    <w:rsid w:val="00D511FC"/>
    <w:rsid w:val="00D512D1"/>
    <w:rsid w:val="00D513F0"/>
    <w:rsid w:val="00D5141A"/>
    <w:rsid w:val="00D51565"/>
    <w:rsid w:val="00D517E1"/>
    <w:rsid w:val="00D51AAF"/>
    <w:rsid w:val="00D51F84"/>
    <w:rsid w:val="00D52200"/>
    <w:rsid w:val="00D52400"/>
    <w:rsid w:val="00D527A2"/>
    <w:rsid w:val="00D5296D"/>
    <w:rsid w:val="00D52A9A"/>
    <w:rsid w:val="00D52E1D"/>
    <w:rsid w:val="00D53387"/>
    <w:rsid w:val="00D53768"/>
    <w:rsid w:val="00D537B0"/>
    <w:rsid w:val="00D54171"/>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38"/>
    <w:rsid w:val="00D63BAD"/>
    <w:rsid w:val="00D63D97"/>
    <w:rsid w:val="00D6410E"/>
    <w:rsid w:val="00D6420A"/>
    <w:rsid w:val="00D643A8"/>
    <w:rsid w:val="00D6447E"/>
    <w:rsid w:val="00D645BF"/>
    <w:rsid w:val="00D647F9"/>
    <w:rsid w:val="00D6485C"/>
    <w:rsid w:val="00D64A30"/>
    <w:rsid w:val="00D64CB8"/>
    <w:rsid w:val="00D64D11"/>
    <w:rsid w:val="00D65404"/>
    <w:rsid w:val="00D6575A"/>
    <w:rsid w:val="00D65837"/>
    <w:rsid w:val="00D65DD6"/>
    <w:rsid w:val="00D65F8A"/>
    <w:rsid w:val="00D66008"/>
    <w:rsid w:val="00D66022"/>
    <w:rsid w:val="00D66065"/>
    <w:rsid w:val="00D66C66"/>
    <w:rsid w:val="00D66DAA"/>
    <w:rsid w:val="00D671EF"/>
    <w:rsid w:val="00D6755D"/>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CDE"/>
    <w:rsid w:val="00D73DAD"/>
    <w:rsid w:val="00D73E0D"/>
    <w:rsid w:val="00D74461"/>
    <w:rsid w:val="00D74AF7"/>
    <w:rsid w:val="00D7505F"/>
    <w:rsid w:val="00D75199"/>
    <w:rsid w:val="00D75277"/>
    <w:rsid w:val="00D755A0"/>
    <w:rsid w:val="00D75843"/>
    <w:rsid w:val="00D758A1"/>
    <w:rsid w:val="00D75E85"/>
    <w:rsid w:val="00D75F68"/>
    <w:rsid w:val="00D76326"/>
    <w:rsid w:val="00D7643F"/>
    <w:rsid w:val="00D7648B"/>
    <w:rsid w:val="00D769F0"/>
    <w:rsid w:val="00D76E0D"/>
    <w:rsid w:val="00D76E83"/>
    <w:rsid w:val="00D771C9"/>
    <w:rsid w:val="00D778A3"/>
    <w:rsid w:val="00D77A2C"/>
    <w:rsid w:val="00D800A1"/>
    <w:rsid w:val="00D8036A"/>
    <w:rsid w:val="00D80AB8"/>
    <w:rsid w:val="00D80C93"/>
    <w:rsid w:val="00D80CCB"/>
    <w:rsid w:val="00D81307"/>
    <w:rsid w:val="00D8145A"/>
    <w:rsid w:val="00D81465"/>
    <w:rsid w:val="00D817FD"/>
    <w:rsid w:val="00D81CC1"/>
    <w:rsid w:val="00D820F3"/>
    <w:rsid w:val="00D829AC"/>
    <w:rsid w:val="00D82AA1"/>
    <w:rsid w:val="00D83401"/>
    <w:rsid w:val="00D83552"/>
    <w:rsid w:val="00D83850"/>
    <w:rsid w:val="00D84268"/>
    <w:rsid w:val="00D84278"/>
    <w:rsid w:val="00D846C5"/>
    <w:rsid w:val="00D847C6"/>
    <w:rsid w:val="00D84EF8"/>
    <w:rsid w:val="00D85757"/>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7C"/>
    <w:rsid w:val="00D92FD3"/>
    <w:rsid w:val="00D931F2"/>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182"/>
    <w:rsid w:val="00DA1D80"/>
    <w:rsid w:val="00DA2046"/>
    <w:rsid w:val="00DA2185"/>
    <w:rsid w:val="00DA23D2"/>
    <w:rsid w:val="00DA29C4"/>
    <w:rsid w:val="00DA2D90"/>
    <w:rsid w:val="00DA3A26"/>
    <w:rsid w:val="00DA3B43"/>
    <w:rsid w:val="00DA3F00"/>
    <w:rsid w:val="00DA43CA"/>
    <w:rsid w:val="00DA4562"/>
    <w:rsid w:val="00DA492A"/>
    <w:rsid w:val="00DA49D8"/>
    <w:rsid w:val="00DA5655"/>
    <w:rsid w:val="00DA5CA9"/>
    <w:rsid w:val="00DA5E7E"/>
    <w:rsid w:val="00DA714A"/>
    <w:rsid w:val="00DA71AF"/>
    <w:rsid w:val="00DA727D"/>
    <w:rsid w:val="00DA7A85"/>
    <w:rsid w:val="00DA7BC7"/>
    <w:rsid w:val="00DA7E4C"/>
    <w:rsid w:val="00DA7EC1"/>
    <w:rsid w:val="00DB009D"/>
    <w:rsid w:val="00DB0564"/>
    <w:rsid w:val="00DB0666"/>
    <w:rsid w:val="00DB0D5D"/>
    <w:rsid w:val="00DB1312"/>
    <w:rsid w:val="00DB1539"/>
    <w:rsid w:val="00DB1F98"/>
    <w:rsid w:val="00DB2557"/>
    <w:rsid w:val="00DB27E1"/>
    <w:rsid w:val="00DB2A75"/>
    <w:rsid w:val="00DB2CDC"/>
    <w:rsid w:val="00DB2CF9"/>
    <w:rsid w:val="00DB2F94"/>
    <w:rsid w:val="00DB2FDC"/>
    <w:rsid w:val="00DB3133"/>
    <w:rsid w:val="00DB3454"/>
    <w:rsid w:val="00DB34D2"/>
    <w:rsid w:val="00DB35C7"/>
    <w:rsid w:val="00DB3719"/>
    <w:rsid w:val="00DB39DE"/>
    <w:rsid w:val="00DB39FE"/>
    <w:rsid w:val="00DB3D0B"/>
    <w:rsid w:val="00DB3D52"/>
    <w:rsid w:val="00DB42C3"/>
    <w:rsid w:val="00DB4322"/>
    <w:rsid w:val="00DB4516"/>
    <w:rsid w:val="00DB452C"/>
    <w:rsid w:val="00DB4F9D"/>
    <w:rsid w:val="00DB5799"/>
    <w:rsid w:val="00DB5A21"/>
    <w:rsid w:val="00DB5DEB"/>
    <w:rsid w:val="00DB5EBC"/>
    <w:rsid w:val="00DB5EE5"/>
    <w:rsid w:val="00DB6681"/>
    <w:rsid w:val="00DB6B13"/>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549"/>
    <w:rsid w:val="00DC367D"/>
    <w:rsid w:val="00DC3DE4"/>
    <w:rsid w:val="00DC4D82"/>
    <w:rsid w:val="00DC5015"/>
    <w:rsid w:val="00DC522F"/>
    <w:rsid w:val="00DC588E"/>
    <w:rsid w:val="00DC5E7A"/>
    <w:rsid w:val="00DC6035"/>
    <w:rsid w:val="00DC65D8"/>
    <w:rsid w:val="00DC6870"/>
    <w:rsid w:val="00DC69C6"/>
    <w:rsid w:val="00DC6A94"/>
    <w:rsid w:val="00DC6E29"/>
    <w:rsid w:val="00DC73C7"/>
    <w:rsid w:val="00DC7680"/>
    <w:rsid w:val="00DC7890"/>
    <w:rsid w:val="00DC79A3"/>
    <w:rsid w:val="00DC7C07"/>
    <w:rsid w:val="00DC7E92"/>
    <w:rsid w:val="00DD02C4"/>
    <w:rsid w:val="00DD044C"/>
    <w:rsid w:val="00DD128A"/>
    <w:rsid w:val="00DD12B1"/>
    <w:rsid w:val="00DD12B5"/>
    <w:rsid w:val="00DD1795"/>
    <w:rsid w:val="00DD18BD"/>
    <w:rsid w:val="00DD1947"/>
    <w:rsid w:val="00DD1E75"/>
    <w:rsid w:val="00DD1ED7"/>
    <w:rsid w:val="00DD23C0"/>
    <w:rsid w:val="00DD242B"/>
    <w:rsid w:val="00DD2DEB"/>
    <w:rsid w:val="00DD2FE5"/>
    <w:rsid w:val="00DD32DF"/>
    <w:rsid w:val="00DD3401"/>
    <w:rsid w:val="00DD3430"/>
    <w:rsid w:val="00DD3480"/>
    <w:rsid w:val="00DD3565"/>
    <w:rsid w:val="00DD3C20"/>
    <w:rsid w:val="00DD430B"/>
    <w:rsid w:val="00DD49D3"/>
    <w:rsid w:val="00DD49E9"/>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4C6"/>
    <w:rsid w:val="00DE3E7C"/>
    <w:rsid w:val="00DE464E"/>
    <w:rsid w:val="00DE4664"/>
    <w:rsid w:val="00DE4811"/>
    <w:rsid w:val="00DE4B0C"/>
    <w:rsid w:val="00DE5497"/>
    <w:rsid w:val="00DE5B8F"/>
    <w:rsid w:val="00DE5FDA"/>
    <w:rsid w:val="00DE61AA"/>
    <w:rsid w:val="00DE7261"/>
    <w:rsid w:val="00DE72D7"/>
    <w:rsid w:val="00DE73EF"/>
    <w:rsid w:val="00DE752E"/>
    <w:rsid w:val="00DE7793"/>
    <w:rsid w:val="00DE7904"/>
    <w:rsid w:val="00DE7D03"/>
    <w:rsid w:val="00DE7D4B"/>
    <w:rsid w:val="00DE7F45"/>
    <w:rsid w:val="00DF02EC"/>
    <w:rsid w:val="00DF0820"/>
    <w:rsid w:val="00DF0A12"/>
    <w:rsid w:val="00DF0D33"/>
    <w:rsid w:val="00DF0E63"/>
    <w:rsid w:val="00DF10CC"/>
    <w:rsid w:val="00DF12DC"/>
    <w:rsid w:val="00DF1300"/>
    <w:rsid w:val="00DF1630"/>
    <w:rsid w:val="00DF1EB6"/>
    <w:rsid w:val="00DF1FD6"/>
    <w:rsid w:val="00DF21AF"/>
    <w:rsid w:val="00DF2412"/>
    <w:rsid w:val="00DF246E"/>
    <w:rsid w:val="00DF32AF"/>
    <w:rsid w:val="00DF3307"/>
    <w:rsid w:val="00DF35C2"/>
    <w:rsid w:val="00DF360E"/>
    <w:rsid w:val="00DF3623"/>
    <w:rsid w:val="00DF3A2C"/>
    <w:rsid w:val="00DF3F90"/>
    <w:rsid w:val="00DF4158"/>
    <w:rsid w:val="00DF4430"/>
    <w:rsid w:val="00DF4920"/>
    <w:rsid w:val="00DF4DEA"/>
    <w:rsid w:val="00DF4F19"/>
    <w:rsid w:val="00DF4F1A"/>
    <w:rsid w:val="00DF5002"/>
    <w:rsid w:val="00DF515D"/>
    <w:rsid w:val="00DF5270"/>
    <w:rsid w:val="00DF5588"/>
    <w:rsid w:val="00DF5B4C"/>
    <w:rsid w:val="00DF5C89"/>
    <w:rsid w:val="00DF6014"/>
    <w:rsid w:val="00DF6238"/>
    <w:rsid w:val="00DF6281"/>
    <w:rsid w:val="00DF6531"/>
    <w:rsid w:val="00DF662F"/>
    <w:rsid w:val="00DF6824"/>
    <w:rsid w:val="00DF69A9"/>
    <w:rsid w:val="00DF6A7B"/>
    <w:rsid w:val="00DF6A83"/>
    <w:rsid w:val="00DF6AE4"/>
    <w:rsid w:val="00DF7226"/>
    <w:rsid w:val="00DF7BC3"/>
    <w:rsid w:val="00E00368"/>
    <w:rsid w:val="00E005F5"/>
    <w:rsid w:val="00E00A07"/>
    <w:rsid w:val="00E00A92"/>
    <w:rsid w:val="00E01395"/>
    <w:rsid w:val="00E015A5"/>
    <w:rsid w:val="00E019EA"/>
    <w:rsid w:val="00E01A5C"/>
    <w:rsid w:val="00E028E6"/>
    <w:rsid w:val="00E02C20"/>
    <w:rsid w:val="00E02C28"/>
    <w:rsid w:val="00E0324B"/>
    <w:rsid w:val="00E0345F"/>
    <w:rsid w:val="00E03BEA"/>
    <w:rsid w:val="00E03CB4"/>
    <w:rsid w:val="00E0401E"/>
    <w:rsid w:val="00E0416C"/>
    <w:rsid w:val="00E04204"/>
    <w:rsid w:val="00E04234"/>
    <w:rsid w:val="00E046C1"/>
    <w:rsid w:val="00E049EC"/>
    <w:rsid w:val="00E05A43"/>
    <w:rsid w:val="00E05FC4"/>
    <w:rsid w:val="00E06977"/>
    <w:rsid w:val="00E06AF4"/>
    <w:rsid w:val="00E06F6A"/>
    <w:rsid w:val="00E073C8"/>
    <w:rsid w:val="00E07686"/>
    <w:rsid w:val="00E07939"/>
    <w:rsid w:val="00E07E45"/>
    <w:rsid w:val="00E1007C"/>
    <w:rsid w:val="00E100DC"/>
    <w:rsid w:val="00E101F9"/>
    <w:rsid w:val="00E102BD"/>
    <w:rsid w:val="00E1039D"/>
    <w:rsid w:val="00E103F8"/>
    <w:rsid w:val="00E104ED"/>
    <w:rsid w:val="00E10504"/>
    <w:rsid w:val="00E10631"/>
    <w:rsid w:val="00E10DA9"/>
    <w:rsid w:val="00E11A7C"/>
    <w:rsid w:val="00E11EB8"/>
    <w:rsid w:val="00E1273A"/>
    <w:rsid w:val="00E12933"/>
    <w:rsid w:val="00E12A5A"/>
    <w:rsid w:val="00E12AF0"/>
    <w:rsid w:val="00E1312A"/>
    <w:rsid w:val="00E136AE"/>
    <w:rsid w:val="00E139D0"/>
    <w:rsid w:val="00E14262"/>
    <w:rsid w:val="00E143EE"/>
    <w:rsid w:val="00E143F1"/>
    <w:rsid w:val="00E145A7"/>
    <w:rsid w:val="00E145E0"/>
    <w:rsid w:val="00E147E5"/>
    <w:rsid w:val="00E14913"/>
    <w:rsid w:val="00E149D5"/>
    <w:rsid w:val="00E14B4A"/>
    <w:rsid w:val="00E14E7C"/>
    <w:rsid w:val="00E150B1"/>
    <w:rsid w:val="00E15352"/>
    <w:rsid w:val="00E153A7"/>
    <w:rsid w:val="00E154A1"/>
    <w:rsid w:val="00E15ED2"/>
    <w:rsid w:val="00E164E8"/>
    <w:rsid w:val="00E1654E"/>
    <w:rsid w:val="00E16704"/>
    <w:rsid w:val="00E167D4"/>
    <w:rsid w:val="00E16A86"/>
    <w:rsid w:val="00E172D5"/>
    <w:rsid w:val="00E175FF"/>
    <w:rsid w:val="00E17C3F"/>
    <w:rsid w:val="00E17CFB"/>
    <w:rsid w:val="00E200EF"/>
    <w:rsid w:val="00E201E3"/>
    <w:rsid w:val="00E202A9"/>
    <w:rsid w:val="00E20661"/>
    <w:rsid w:val="00E206FA"/>
    <w:rsid w:val="00E20770"/>
    <w:rsid w:val="00E20855"/>
    <w:rsid w:val="00E20862"/>
    <w:rsid w:val="00E20AD1"/>
    <w:rsid w:val="00E20E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15"/>
    <w:rsid w:val="00E272FE"/>
    <w:rsid w:val="00E30063"/>
    <w:rsid w:val="00E30517"/>
    <w:rsid w:val="00E3070A"/>
    <w:rsid w:val="00E30A72"/>
    <w:rsid w:val="00E30DB2"/>
    <w:rsid w:val="00E31506"/>
    <w:rsid w:val="00E31586"/>
    <w:rsid w:val="00E31AAC"/>
    <w:rsid w:val="00E3200D"/>
    <w:rsid w:val="00E32E0E"/>
    <w:rsid w:val="00E3305B"/>
    <w:rsid w:val="00E334D4"/>
    <w:rsid w:val="00E33506"/>
    <w:rsid w:val="00E33802"/>
    <w:rsid w:val="00E33814"/>
    <w:rsid w:val="00E339C6"/>
    <w:rsid w:val="00E33B2A"/>
    <w:rsid w:val="00E33B8C"/>
    <w:rsid w:val="00E33D92"/>
    <w:rsid w:val="00E33E3A"/>
    <w:rsid w:val="00E33E4D"/>
    <w:rsid w:val="00E34478"/>
    <w:rsid w:val="00E34D6F"/>
    <w:rsid w:val="00E34F08"/>
    <w:rsid w:val="00E35029"/>
    <w:rsid w:val="00E35698"/>
    <w:rsid w:val="00E35AC2"/>
    <w:rsid w:val="00E35CDC"/>
    <w:rsid w:val="00E35EB9"/>
    <w:rsid w:val="00E35F47"/>
    <w:rsid w:val="00E3610B"/>
    <w:rsid w:val="00E3636D"/>
    <w:rsid w:val="00E363B9"/>
    <w:rsid w:val="00E363CF"/>
    <w:rsid w:val="00E36400"/>
    <w:rsid w:val="00E36AED"/>
    <w:rsid w:val="00E3702B"/>
    <w:rsid w:val="00E377BF"/>
    <w:rsid w:val="00E37C25"/>
    <w:rsid w:val="00E40362"/>
    <w:rsid w:val="00E4038C"/>
    <w:rsid w:val="00E40A63"/>
    <w:rsid w:val="00E40DA1"/>
    <w:rsid w:val="00E414CB"/>
    <w:rsid w:val="00E415AE"/>
    <w:rsid w:val="00E41BAC"/>
    <w:rsid w:val="00E42532"/>
    <w:rsid w:val="00E42D71"/>
    <w:rsid w:val="00E430BF"/>
    <w:rsid w:val="00E432AE"/>
    <w:rsid w:val="00E434D2"/>
    <w:rsid w:val="00E4356E"/>
    <w:rsid w:val="00E43F1E"/>
    <w:rsid w:val="00E4466A"/>
    <w:rsid w:val="00E447D5"/>
    <w:rsid w:val="00E4499D"/>
    <w:rsid w:val="00E449F7"/>
    <w:rsid w:val="00E45041"/>
    <w:rsid w:val="00E450D8"/>
    <w:rsid w:val="00E452D0"/>
    <w:rsid w:val="00E45A9D"/>
    <w:rsid w:val="00E460A1"/>
    <w:rsid w:val="00E4647C"/>
    <w:rsid w:val="00E46CC9"/>
    <w:rsid w:val="00E47D5F"/>
    <w:rsid w:val="00E47D96"/>
    <w:rsid w:val="00E47DF6"/>
    <w:rsid w:val="00E50344"/>
    <w:rsid w:val="00E508D6"/>
    <w:rsid w:val="00E50B5F"/>
    <w:rsid w:val="00E515A3"/>
    <w:rsid w:val="00E51E23"/>
    <w:rsid w:val="00E523F3"/>
    <w:rsid w:val="00E5252C"/>
    <w:rsid w:val="00E52F76"/>
    <w:rsid w:val="00E5315C"/>
    <w:rsid w:val="00E534EA"/>
    <w:rsid w:val="00E538E0"/>
    <w:rsid w:val="00E547DF"/>
    <w:rsid w:val="00E54D33"/>
    <w:rsid w:val="00E557E6"/>
    <w:rsid w:val="00E55D63"/>
    <w:rsid w:val="00E55E5D"/>
    <w:rsid w:val="00E560F4"/>
    <w:rsid w:val="00E564C1"/>
    <w:rsid w:val="00E56898"/>
    <w:rsid w:val="00E56D97"/>
    <w:rsid w:val="00E56E3C"/>
    <w:rsid w:val="00E56F3C"/>
    <w:rsid w:val="00E5711F"/>
    <w:rsid w:val="00E571C0"/>
    <w:rsid w:val="00E57456"/>
    <w:rsid w:val="00E57623"/>
    <w:rsid w:val="00E6000E"/>
    <w:rsid w:val="00E60050"/>
    <w:rsid w:val="00E6014B"/>
    <w:rsid w:val="00E602C9"/>
    <w:rsid w:val="00E608B7"/>
    <w:rsid w:val="00E608E1"/>
    <w:rsid w:val="00E60E12"/>
    <w:rsid w:val="00E60F80"/>
    <w:rsid w:val="00E6134E"/>
    <w:rsid w:val="00E613CE"/>
    <w:rsid w:val="00E61682"/>
    <w:rsid w:val="00E61DAC"/>
    <w:rsid w:val="00E61F86"/>
    <w:rsid w:val="00E62AF2"/>
    <w:rsid w:val="00E62C6B"/>
    <w:rsid w:val="00E62DDA"/>
    <w:rsid w:val="00E630F7"/>
    <w:rsid w:val="00E63A8C"/>
    <w:rsid w:val="00E63C84"/>
    <w:rsid w:val="00E643D0"/>
    <w:rsid w:val="00E64763"/>
    <w:rsid w:val="00E647DC"/>
    <w:rsid w:val="00E6484F"/>
    <w:rsid w:val="00E64B4F"/>
    <w:rsid w:val="00E64DE7"/>
    <w:rsid w:val="00E65904"/>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3ED6"/>
    <w:rsid w:val="00E73FFF"/>
    <w:rsid w:val="00E7449A"/>
    <w:rsid w:val="00E744BD"/>
    <w:rsid w:val="00E74B5A"/>
    <w:rsid w:val="00E7524F"/>
    <w:rsid w:val="00E7556D"/>
    <w:rsid w:val="00E755F4"/>
    <w:rsid w:val="00E75693"/>
    <w:rsid w:val="00E756FB"/>
    <w:rsid w:val="00E75918"/>
    <w:rsid w:val="00E76141"/>
    <w:rsid w:val="00E76270"/>
    <w:rsid w:val="00E76B45"/>
    <w:rsid w:val="00E77040"/>
    <w:rsid w:val="00E770DA"/>
    <w:rsid w:val="00E772C4"/>
    <w:rsid w:val="00E77484"/>
    <w:rsid w:val="00E77655"/>
    <w:rsid w:val="00E8016D"/>
    <w:rsid w:val="00E810EC"/>
    <w:rsid w:val="00E8112C"/>
    <w:rsid w:val="00E81587"/>
    <w:rsid w:val="00E81799"/>
    <w:rsid w:val="00E826C8"/>
    <w:rsid w:val="00E82819"/>
    <w:rsid w:val="00E82EE0"/>
    <w:rsid w:val="00E83280"/>
    <w:rsid w:val="00E832C9"/>
    <w:rsid w:val="00E8344D"/>
    <w:rsid w:val="00E83469"/>
    <w:rsid w:val="00E835C0"/>
    <w:rsid w:val="00E83E6E"/>
    <w:rsid w:val="00E8412F"/>
    <w:rsid w:val="00E843EF"/>
    <w:rsid w:val="00E84661"/>
    <w:rsid w:val="00E84934"/>
    <w:rsid w:val="00E84A69"/>
    <w:rsid w:val="00E84BAF"/>
    <w:rsid w:val="00E853AC"/>
    <w:rsid w:val="00E85483"/>
    <w:rsid w:val="00E86057"/>
    <w:rsid w:val="00E861F7"/>
    <w:rsid w:val="00E864CA"/>
    <w:rsid w:val="00E86647"/>
    <w:rsid w:val="00E869CC"/>
    <w:rsid w:val="00E86BF7"/>
    <w:rsid w:val="00E87182"/>
    <w:rsid w:val="00E879F0"/>
    <w:rsid w:val="00E87AE6"/>
    <w:rsid w:val="00E87BC7"/>
    <w:rsid w:val="00E90450"/>
    <w:rsid w:val="00E90BF3"/>
    <w:rsid w:val="00E91139"/>
    <w:rsid w:val="00E915E1"/>
    <w:rsid w:val="00E919F0"/>
    <w:rsid w:val="00E91BF2"/>
    <w:rsid w:val="00E91DD4"/>
    <w:rsid w:val="00E91DDE"/>
    <w:rsid w:val="00E91E61"/>
    <w:rsid w:val="00E920B8"/>
    <w:rsid w:val="00E92449"/>
    <w:rsid w:val="00E924C7"/>
    <w:rsid w:val="00E9281F"/>
    <w:rsid w:val="00E92BC4"/>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2D"/>
    <w:rsid w:val="00E96C84"/>
    <w:rsid w:val="00E96F40"/>
    <w:rsid w:val="00E96FBC"/>
    <w:rsid w:val="00E9702D"/>
    <w:rsid w:val="00E97353"/>
    <w:rsid w:val="00E9738B"/>
    <w:rsid w:val="00E97410"/>
    <w:rsid w:val="00E97507"/>
    <w:rsid w:val="00E97512"/>
    <w:rsid w:val="00E97710"/>
    <w:rsid w:val="00E97DC5"/>
    <w:rsid w:val="00EA0281"/>
    <w:rsid w:val="00EA09E1"/>
    <w:rsid w:val="00EA0BD3"/>
    <w:rsid w:val="00EA0BFA"/>
    <w:rsid w:val="00EA0E05"/>
    <w:rsid w:val="00EA0E10"/>
    <w:rsid w:val="00EA0EAB"/>
    <w:rsid w:val="00EA18EB"/>
    <w:rsid w:val="00EA1B4A"/>
    <w:rsid w:val="00EA1CC1"/>
    <w:rsid w:val="00EA2271"/>
    <w:rsid w:val="00EA2585"/>
    <w:rsid w:val="00EA2730"/>
    <w:rsid w:val="00EA3641"/>
    <w:rsid w:val="00EA3D67"/>
    <w:rsid w:val="00EA3DB9"/>
    <w:rsid w:val="00EA475F"/>
    <w:rsid w:val="00EA4A36"/>
    <w:rsid w:val="00EA5029"/>
    <w:rsid w:val="00EA5335"/>
    <w:rsid w:val="00EA5E87"/>
    <w:rsid w:val="00EA630B"/>
    <w:rsid w:val="00EA6E29"/>
    <w:rsid w:val="00EA7B1C"/>
    <w:rsid w:val="00EA7CE6"/>
    <w:rsid w:val="00EA7E15"/>
    <w:rsid w:val="00EA7E9E"/>
    <w:rsid w:val="00EA7EF5"/>
    <w:rsid w:val="00EA7F1F"/>
    <w:rsid w:val="00EB05DC"/>
    <w:rsid w:val="00EB12B5"/>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2F4"/>
    <w:rsid w:val="00EB534C"/>
    <w:rsid w:val="00EB55D2"/>
    <w:rsid w:val="00EB56E5"/>
    <w:rsid w:val="00EB5A08"/>
    <w:rsid w:val="00EB5C31"/>
    <w:rsid w:val="00EB623F"/>
    <w:rsid w:val="00EB6721"/>
    <w:rsid w:val="00EB6BC2"/>
    <w:rsid w:val="00EB6C53"/>
    <w:rsid w:val="00EB716B"/>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C15"/>
    <w:rsid w:val="00EC1D83"/>
    <w:rsid w:val="00EC1FE9"/>
    <w:rsid w:val="00EC285E"/>
    <w:rsid w:val="00EC28CD"/>
    <w:rsid w:val="00EC2915"/>
    <w:rsid w:val="00EC2A06"/>
    <w:rsid w:val="00EC2C50"/>
    <w:rsid w:val="00EC2DC2"/>
    <w:rsid w:val="00EC2E21"/>
    <w:rsid w:val="00EC30FE"/>
    <w:rsid w:val="00EC36DD"/>
    <w:rsid w:val="00EC3E31"/>
    <w:rsid w:val="00EC3E81"/>
    <w:rsid w:val="00EC3EC8"/>
    <w:rsid w:val="00EC44E7"/>
    <w:rsid w:val="00EC4D71"/>
    <w:rsid w:val="00EC4D77"/>
    <w:rsid w:val="00EC4D7B"/>
    <w:rsid w:val="00EC4E2E"/>
    <w:rsid w:val="00EC555C"/>
    <w:rsid w:val="00EC5EB2"/>
    <w:rsid w:val="00EC60A1"/>
    <w:rsid w:val="00EC612D"/>
    <w:rsid w:val="00EC614D"/>
    <w:rsid w:val="00EC6337"/>
    <w:rsid w:val="00EC6D31"/>
    <w:rsid w:val="00EC6D68"/>
    <w:rsid w:val="00EC6D82"/>
    <w:rsid w:val="00EC6FB4"/>
    <w:rsid w:val="00EC7183"/>
    <w:rsid w:val="00EC71AB"/>
    <w:rsid w:val="00EC75F6"/>
    <w:rsid w:val="00EC7D46"/>
    <w:rsid w:val="00EC7EE8"/>
    <w:rsid w:val="00ED0DE8"/>
    <w:rsid w:val="00ED0EB9"/>
    <w:rsid w:val="00ED1A21"/>
    <w:rsid w:val="00ED1A39"/>
    <w:rsid w:val="00ED1CD6"/>
    <w:rsid w:val="00ED2238"/>
    <w:rsid w:val="00ED2FF1"/>
    <w:rsid w:val="00ED30A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1E2"/>
    <w:rsid w:val="00ED54F7"/>
    <w:rsid w:val="00ED58F2"/>
    <w:rsid w:val="00ED6100"/>
    <w:rsid w:val="00ED6E4E"/>
    <w:rsid w:val="00ED7BAF"/>
    <w:rsid w:val="00EE0318"/>
    <w:rsid w:val="00EE08BC"/>
    <w:rsid w:val="00EE0935"/>
    <w:rsid w:val="00EE09EA"/>
    <w:rsid w:val="00EE0A49"/>
    <w:rsid w:val="00EE15CA"/>
    <w:rsid w:val="00EE180E"/>
    <w:rsid w:val="00EE18BB"/>
    <w:rsid w:val="00EE1938"/>
    <w:rsid w:val="00EE1CDA"/>
    <w:rsid w:val="00EE1D36"/>
    <w:rsid w:val="00EE20B3"/>
    <w:rsid w:val="00EE23DD"/>
    <w:rsid w:val="00EE24B7"/>
    <w:rsid w:val="00EE286B"/>
    <w:rsid w:val="00EE2AAB"/>
    <w:rsid w:val="00EE3196"/>
    <w:rsid w:val="00EE3203"/>
    <w:rsid w:val="00EE3318"/>
    <w:rsid w:val="00EE33A6"/>
    <w:rsid w:val="00EE3608"/>
    <w:rsid w:val="00EE3DCB"/>
    <w:rsid w:val="00EE4825"/>
    <w:rsid w:val="00EE5112"/>
    <w:rsid w:val="00EE58F6"/>
    <w:rsid w:val="00EE62B4"/>
    <w:rsid w:val="00EE636D"/>
    <w:rsid w:val="00EE6678"/>
    <w:rsid w:val="00EE66B1"/>
    <w:rsid w:val="00EE687C"/>
    <w:rsid w:val="00EE751B"/>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5DD"/>
    <w:rsid w:val="00EF3A28"/>
    <w:rsid w:val="00EF3A3D"/>
    <w:rsid w:val="00EF3A4A"/>
    <w:rsid w:val="00EF3AFE"/>
    <w:rsid w:val="00EF3D41"/>
    <w:rsid w:val="00EF3D43"/>
    <w:rsid w:val="00EF3EE0"/>
    <w:rsid w:val="00EF3FCB"/>
    <w:rsid w:val="00EF493B"/>
    <w:rsid w:val="00EF4F32"/>
    <w:rsid w:val="00EF5326"/>
    <w:rsid w:val="00EF5605"/>
    <w:rsid w:val="00EF57F7"/>
    <w:rsid w:val="00EF5861"/>
    <w:rsid w:val="00EF6009"/>
    <w:rsid w:val="00EF61C2"/>
    <w:rsid w:val="00EF63DB"/>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4EA5"/>
    <w:rsid w:val="00F0545A"/>
    <w:rsid w:val="00F05EED"/>
    <w:rsid w:val="00F068D2"/>
    <w:rsid w:val="00F06F02"/>
    <w:rsid w:val="00F07F2E"/>
    <w:rsid w:val="00F10437"/>
    <w:rsid w:val="00F10465"/>
    <w:rsid w:val="00F10780"/>
    <w:rsid w:val="00F10864"/>
    <w:rsid w:val="00F11086"/>
    <w:rsid w:val="00F1165E"/>
    <w:rsid w:val="00F11CF5"/>
    <w:rsid w:val="00F12212"/>
    <w:rsid w:val="00F12B3D"/>
    <w:rsid w:val="00F13242"/>
    <w:rsid w:val="00F1403E"/>
    <w:rsid w:val="00F140FE"/>
    <w:rsid w:val="00F1415B"/>
    <w:rsid w:val="00F1418D"/>
    <w:rsid w:val="00F14FB4"/>
    <w:rsid w:val="00F15CF3"/>
    <w:rsid w:val="00F165FF"/>
    <w:rsid w:val="00F16BB1"/>
    <w:rsid w:val="00F170DF"/>
    <w:rsid w:val="00F1710E"/>
    <w:rsid w:val="00F171EF"/>
    <w:rsid w:val="00F1744C"/>
    <w:rsid w:val="00F174EA"/>
    <w:rsid w:val="00F17A8F"/>
    <w:rsid w:val="00F17D56"/>
    <w:rsid w:val="00F20046"/>
    <w:rsid w:val="00F20242"/>
    <w:rsid w:val="00F20310"/>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80"/>
    <w:rsid w:val="00F24D96"/>
    <w:rsid w:val="00F24F4D"/>
    <w:rsid w:val="00F24FA0"/>
    <w:rsid w:val="00F25088"/>
    <w:rsid w:val="00F25157"/>
    <w:rsid w:val="00F2538E"/>
    <w:rsid w:val="00F25EB4"/>
    <w:rsid w:val="00F25F62"/>
    <w:rsid w:val="00F2617C"/>
    <w:rsid w:val="00F2643A"/>
    <w:rsid w:val="00F26886"/>
    <w:rsid w:val="00F2699C"/>
    <w:rsid w:val="00F269A0"/>
    <w:rsid w:val="00F27000"/>
    <w:rsid w:val="00F27776"/>
    <w:rsid w:val="00F27A26"/>
    <w:rsid w:val="00F27E0C"/>
    <w:rsid w:val="00F27F00"/>
    <w:rsid w:val="00F3002F"/>
    <w:rsid w:val="00F30353"/>
    <w:rsid w:val="00F3075E"/>
    <w:rsid w:val="00F308C0"/>
    <w:rsid w:val="00F30D5F"/>
    <w:rsid w:val="00F318E7"/>
    <w:rsid w:val="00F31F17"/>
    <w:rsid w:val="00F3236F"/>
    <w:rsid w:val="00F32374"/>
    <w:rsid w:val="00F32DD1"/>
    <w:rsid w:val="00F32F0E"/>
    <w:rsid w:val="00F32F3E"/>
    <w:rsid w:val="00F3333E"/>
    <w:rsid w:val="00F3383E"/>
    <w:rsid w:val="00F34286"/>
    <w:rsid w:val="00F342E5"/>
    <w:rsid w:val="00F346BC"/>
    <w:rsid w:val="00F34F52"/>
    <w:rsid w:val="00F351DE"/>
    <w:rsid w:val="00F3521B"/>
    <w:rsid w:val="00F35540"/>
    <w:rsid w:val="00F35561"/>
    <w:rsid w:val="00F35865"/>
    <w:rsid w:val="00F35A60"/>
    <w:rsid w:val="00F35E92"/>
    <w:rsid w:val="00F360BA"/>
    <w:rsid w:val="00F366CE"/>
    <w:rsid w:val="00F369FF"/>
    <w:rsid w:val="00F37729"/>
    <w:rsid w:val="00F377A2"/>
    <w:rsid w:val="00F37922"/>
    <w:rsid w:val="00F37AEF"/>
    <w:rsid w:val="00F37DC6"/>
    <w:rsid w:val="00F37E70"/>
    <w:rsid w:val="00F40C88"/>
    <w:rsid w:val="00F41576"/>
    <w:rsid w:val="00F41C37"/>
    <w:rsid w:val="00F41D1F"/>
    <w:rsid w:val="00F426B0"/>
    <w:rsid w:val="00F42910"/>
    <w:rsid w:val="00F42C2B"/>
    <w:rsid w:val="00F4460F"/>
    <w:rsid w:val="00F44833"/>
    <w:rsid w:val="00F45B82"/>
    <w:rsid w:val="00F465F2"/>
    <w:rsid w:val="00F46694"/>
    <w:rsid w:val="00F467B0"/>
    <w:rsid w:val="00F4683A"/>
    <w:rsid w:val="00F46E40"/>
    <w:rsid w:val="00F46F8B"/>
    <w:rsid w:val="00F47132"/>
    <w:rsid w:val="00F4751B"/>
    <w:rsid w:val="00F47728"/>
    <w:rsid w:val="00F47AF4"/>
    <w:rsid w:val="00F47AFE"/>
    <w:rsid w:val="00F47CBA"/>
    <w:rsid w:val="00F47CF5"/>
    <w:rsid w:val="00F50020"/>
    <w:rsid w:val="00F50055"/>
    <w:rsid w:val="00F50671"/>
    <w:rsid w:val="00F50835"/>
    <w:rsid w:val="00F50849"/>
    <w:rsid w:val="00F513BA"/>
    <w:rsid w:val="00F51447"/>
    <w:rsid w:val="00F514EF"/>
    <w:rsid w:val="00F516F4"/>
    <w:rsid w:val="00F517FC"/>
    <w:rsid w:val="00F5234E"/>
    <w:rsid w:val="00F5248D"/>
    <w:rsid w:val="00F52756"/>
    <w:rsid w:val="00F528A1"/>
    <w:rsid w:val="00F52A47"/>
    <w:rsid w:val="00F52A4B"/>
    <w:rsid w:val="00F52C6C"/>
    <w:rsid w:val="00F52E0C"/>
    <w:rsid w:val="00F52E16"/>
    <w:rsid w:val="00F52FA8"/>
    <w:rsid w:val="00F532FD"/>
    <w:rsid w:val="00F53854"/>
    <w:rsid w:val="00F538CD"/>
    <w:rsid w:val="00F53AD8"/>
    <w:rsid w:val="00F54192"/>
    <w:rsid w:val="00F542D8"/>
    <w:rsid w:val="00F54460"/>
    <w:rsid w:val="00F548C8"/>
    <w:rsid w:val="00F54B39"/>
    <w:rsid w:val="00F550B5"/>
    <w:rsid w:val="00F553D1"/>
    <w:rsid w:val="00F55410"/>
    <w:rsid w:val="00F55589"/>
    <w:rsid w:val="00F558E3"/>
    <w:rsid w:val="00F55AC5"/>
    <w:rsid w:val="00F564B4"/>
    <w:rsid w:val="00F56D31"/>
    <w:rsid w:val="00F57183"/>
    <w:rsid w:val="00F5765A"/>
    <w:rsid w:val="00F57C72"/>
    <w:rsid w:val="00F57E51"/>
    <w:rsid w:val="00F6021A"/>
    <w:rsid w:val="00F6021F"/>
    <w:rsid w:val="00F6083E"/>
    <w:rsid w:val="00F60845"/>
    <w:rsid w:val="00F61158"/>
    <w:rsid w:val="00F611BC"/>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D7D"/>
    <w:rsid w:val="00F65E8A"/>
    <w:rsid w:val="00F65E91"/>
    <w:rsid w:val="00F65F6B"/>
    <w:rsid w:val="00F660B8"/>
    <w:rsid w:val="00F6617D"/>
    <w:rsid w:val="00F665CA"/>
    <w:rsid w:val="00F66709"/>
    <w:rsid w:val="00F669E3"/>
    <w:rsid w:val="00F66AF7"/>
    <w:rsid w:val="00F672EB"/>
    <w:rsid w:val="00F6753C"/>
    <w:rsid w:val="00F67906"/>
    <w:rsid w:val="00F67A85"/>
    <w:rsid w:val="00F67D0D"/>
    <w:rsid w:val="00F70BD3"/>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24C"/>
    <w:rsid w:val="00F74664"/>
    <w:rsid w:val="00F74791"/>
    <w:rsid w:val="00F747FD"/>
    <w:rsid w:val="00F74A7A"/>
    <w:rsid w:val="00F75057"/>
    <w:rsid w:val="00F75C0B"/>
    <w:rsid w:val="00F763DF"/>
    <w:rsid w:val="00F77028"/>
    <w:rsid w:val="00F7792A"/>
    <w:rsid w:val="00F77A26"/>
    <w:rsid w:val="00F77A6F"/>
    <w:rsid w:val="00F77C47"/>
    <w:rsid w:val="00F77CFA"/>
    <w:rsid w:val="00F802D3"/>
    <w:rsid w:val="00F80A32"/>
    <w:rsid w:val="00F80CAD"/>
    <w:rsid w:val="00F80D8F"/>
    <w:rsid w:val="00F8116A"/>
    <w:rsid w:val="00F81311"/>
    <w:rsid w:val="00F81625"/>
    <w:rsid w:val="00F81A54"/>
    <w:rsid w:val="00F81B5F"/>
    <w:rsid w:val="00F81E0E"/>
    <w:rsid w:val="00F81E83"/>
    <w:rsid w:val="00F81F25"/>
    <w:rsid w:val="00F82272"/>
    <w:rsid w:val="00F825FF"/>
    <w:rsid w:val="00F82760"/>
    <w:rsid w:val="00F82956"/>
    <w:rsid w:val="00F82A7D"/>
    <w:rsid w:val="00F82D8E"/>
    <w:rsid w:val="00F83301"/>
    <w:rsid w:val="00F837DD"/>
    <w:rsid w:val="00F849D7"/>
    <w:rsid w:val="00F84A2F"/>
    <w:rsid w:val="00F84BAB"/>
    <w:rsid w:val="00F850EB"/>
    <w:rsid w:val="00F851D5"/>
    <w:rsid w:val="00F852D1"/>
    <w:rsid w:val="00F855CB"/>
    <w:rsid w:val="00F85744"/>
    <w:rsid w:val="00F86165"/>
    <w:rsid w:val="00F862CA"/>
    <w:rsid w:val="00F863EB"/>
    <w:rsid w:val="00F864AD"/>
    <w:rsid w:val="00F86B20"/>
    <w:rsid w:val="00F86BCE"/>
    <w:rsid w:val="00F86C43"/>
    <w:rsid w:val="00F86F20"/>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D0"/>
    <w:rsid w:val="00F910E4"/>
    <w:rsid w:val="00F915AB"/>
    <w:rsid w:val="00F9174D"/>
    <w:rsid w:val="00F91906"/>
    <w:rsid w:val="00F91932"/>
    <w:rsid w:val="00F91CA2"/>
    <w:rsid w:val="00F91DAC"/>
    <w:rsid w:val="00F92174"/>
    <w:rsid w:val="00F92185"/>
    <w:rsid w:val="00F923DB"/>
    <w:rsid w:val="00F92725"/>
    <w:rsid w:val="00F92A1A"/>
    <w:rsid w:val="00F9357A"/>
    <w:rsid w:val="00F9360D"/>
    <w:rsid w:val="00F939E7"/>
    <w:rsid w:val="00F93A3D"/>
    <w:rsid w:val="00F93A5F"/>
    <w:rsid w:val="00F94003"/>
    <w:rsid w:val="00F945E2"/>
    <w:rsid w:val="00F94737"/>
    <w:rsid w:val="00F9495D"/>
    <w:rsid w:val="00F94E3F"/>
    <w:rsid w:val="00F95013"/>
    <w:rsid w:val="00F951BD"/>
    <w:rsid w:val="00F95243"/>
    <w:rsid w:val="00F9590D"/>
    <w:rsid w:val="00F95E8C"/>
    <w:rsid w:val="00F9632D"/>
    <w:rsid w:val="00F9644F"/>
    <w:rsid w:val="00F96479"/>
    <w:rsid w:val="00F965D9"/>
    <w:rsid w:val="00F96A1F"/>
    <w:rsid w:val="00F96C7A"/>
    <w:rsid w:val="00F96E7C"/>
    <w:rsid w:val="00F96FAF"/>
    <w:rsid w:val="00F975B5"/>
    <w:rsid w:val="00F97666"/>
    <w:rsid w:val="00F97F06"/>
    <w:rsid w:val="00FA0509"/>
    <w:rsid w:val="00FA0715"/>
    <w:rsid w:val="00FA0E7C"/>
    <w:rsid w:val="00FA17D6"/>
    <w:rsid w:val="00FA1B1E"/>
    <w:rsid w:val="00FA1CBF"/>
    <w:rsid w:val="00FA1D8F"/>
    <w:rsid w:val="00FA1EB0"/>
    <w:rsid w:val="00FA2002"/>
    <w:rsid w:val="00FA2526"/>
    <w:rsid w:val="00FA2663"/>
    <w:rsid w:val="00FA27B9"/>
    <w:rsid w:val="00FA2AB0"/>
    <w:rsid w:val="00FA2EB9"/>
    <w:rsid w:val="00FA33A2"/>
    <w:rsid w:val="00FA3871"/>
    <w:rsid w:val="00FA3C84"/>
    <w:rsid w:val="00FA4131"/>
    <w:rsid w:val="00FA48E0"/>
    <w:rsid w:val="00FA4EDE"/>
    <w:rsid w:val="00FA50E8"/>
    <w:rsid w:val="00FA526F"/>
    <w:rsid w:val="00FA53C1"/>
    <w:rsid w:val="00FA5527"/>
    <w:rsid w:val="00FA558C"/>
    <w:rsid w:val="00FA5710"/>
    <w:rsid w:val="00FA5871"/>
    <w:rsid w:val="00FA589E"/>
    <w:rsid w:val="00FA5909"/>
    <w:rsid w:val="00FA5A96"/>
    <w:rsid w:val="00FA5DCB"/>
    <w:rsid w:val="00FA6225"/>
    <w:rsid w:val="00FA6244"/>
    <w:rsid w:val="00FA656D"/>
    <w:rsid w:val="00FA65C9"/>
    <w:rsid w:val="00FA6686"/>
    <w:rsid w:val="00FA6A8C"/>
    <w:rsid w:val="00FA6E07"/>
    <w:rsid w:val="00FA770A"/>
    <w:rsid w:val="00FA7A20"/>
    <w:rsid w:val="00FA7AA6"/>
    <w:rsid w:val="00FA7B38"/>
    <w:rsid w:val="00FA7C04"/>
    <w:rsid w:val="00FB03E5"/>
    <w:rsid w:val="00FB0443"/>
    <w:rsid w:val="00FB0540"/>
    <w:rsid w:val="00FB08E9"/>
    <w:rsid w:val="00FB1309"/>
    <w:rsid w:val="00FB15D5"/>
    <w:rsid w:val="00FB18E8"/>
    <w:rsid w:val="00FB19D8"/>
    <w:rsid w:val="00FB22E5"/>
    <w:rsid w:val="00FB2864"/>
    <w:rsid w:val="00FB292D"/>
    <w:rsid w:val="00FB2A80"/>
    <w:rsid w:val="00FB2F94"/>
    <w:rsid w:val="00FB3CD6"/>
    <w:rsid w:val="00FB4065"/>
    <w:rsid w:val="00FB4760"/>
    <w:rsid w:val="00FB47B5"/>
    <w:rsid w:val="00FB4D00"/>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452"/>
    <w:rsid w:val="00FC37F0"/>
    <w:rsid w:val="00FC3B07"/>
    <w:rsid w:val="00FC3BBC"/>
    <w:rsid w:val="00FC3EEB"/>
    <w:rsid w:val="00FC4278"/>
    <w:rsid w:val="00FC4423"/>
    <w:rsid w:val="00FC47CD"/>
    <w:rsid w:val="00FC47D1"/>
    <w:rsid w:val="00FC4CA4"/>
    <w:rsid w:val="00FC4ED1"/>
    <w:rsid w:val="00FC4F3D"/>
    <w:rsid w:val="00FC545C"/>
    <w:rsid w:val="00FC553E"/>
    <w:rsid w:val="00FC5778"/>
    <w:rsid w:val="00FC58DB"/>
    <w:rsid w:val="00FC65A0"/>
    <w:rsid w:val="00FC6B41"/>
    <w:rsid w:val="00FC6C9B"/>
    <w:rsid w:val="00FC6D8C"/>
    <w:rsid w:val="00FC6DA4"/>
    <w:rsid w:val="00FC791E"/>
    <w:rsid w:val="00FC7F93"/>
    <w:rsid w:val="00FD10D2"/>
    <w:rsid w:val="00FD235B"/>
    <w:rsid w:val="00FD2804"/>
    <w:rsid w:val="00FD282A"/>
    <w:rsid w:val="00FD2A71"/>
    <w:rsid w:val="00FD3124"/>
    <w:rsid w:val="00FD3905"/>
    <w:rsid w:val="00FD49E9"/>
    <w:rsid w:val="00FD4CC0"/>
    <w:rsid w:val="00FD4D2D"/>
    <w:rsid w:val="00FD56B2"/>
    <w:rsid w:val="00FD5999"/>
    <w:rsid w:val="00FD6318"/>
    <w:rsid w:val="00FD6A3D"/>
    <w:rsid w:val="00FD6D13"/>
    <w:rsid w:val="00FD6F9D"/>
    <w:rsid w:val="00FD72D9"/>
    <w:rsid w:val="00FD73AE"/>
    <w:rsid w:val="00FD7D6B"/>
    <w:rsid w:val="00FE00DC"/>
    <w:rsid w:val="00FE0477"/>
    <w:rsid w:val="00FE0657"/>
    <w:rsid w:val="00FE0E08"/>
    <w:rsid w:val="00FE15F5"/>
    <w:rsid w:val="00FE1728"/>
    <w:rsid w:val="00FE1E88"/>
    <w:rsid w:val="00FE1EC0"/>
    <w:rsid w:val="00FE22FE"/>
    <w:rsid w:val="00FE2A5B"/>
    <w:rsid w:val="00FE2B7B"/>
    <w:rsid w:val="00FE3100"/>
    <w:rsid w:val="00FE3687"/>
    <w:rsid w:val="00FE3768"/>
    <w:rsid w:val="00FE3D47"/>
    <w:rsid w:val="00FE42C4"/>
    <w:rsid w:val="00FE47B0"/>
    <w:rsid w:val="00FE5172"/>
    <w:rsid w:val="00FE5236"/>
    <w:rsid w:val="00FE53E8"/>
    <w:rsid w:val="00FE5977"/>
    <w:rsid w:val="00FE5B02"/>
    <w:rsid w:val="00FE5C99"/>
    <w:rsid w:val="00FE5CB2"/>
    <w:rsid w:val="00FE650C"/>
    <w:rsid w:val="00FE65AA"/>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967"/>
    <w:rsid w:val="00FF0BBB"/>
    <w:rsid w:val="00FF1455"/>
    <w:rsid w:val="00FF1716"/>
    <w:rsid w:val="00FF1920"/>
    <w:rsid w:val="00FF1ACF"/>
    <w:rsid w:val="00FF26B7"/>
    <w:rsid w:val="00FF289A"/>
    <w:rsid w:val="00FF2A88"/>
    <w:rsid w:val="00FF303D"/>
    <w:rsid w:val="00FF36EE"/>
    <w:rsid w:val="00FF37C5"/>
    <w:rsid w:val="00FF3A12"/>
    <w:rsid w:val="00FF3C0B"/>
    <w:rsid w:val="00FF3CFC"/>
    <w:rsid w:val="00FF40CB"/>
    <w:rsid w:val="00FF43AF"/>
    <w:rsid w:val="00FF48E0"/>
    <w:rsid w:val="00FF5026"/>
    <w:rsid w:val="00FF5173"/>
    <w:rsid w:val="00FF51D0"/>
    <w:rsid w:val="00FF52CC"/>
    <w:rsid w:val="00FF52E3"/>
    <w:rsid w:val="00FF536F"/>
    <w:rsid w:val="00FF56EB"/>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105EFB"/>
    <w:pPr>
      <w:overflowPunct/>
      <w:autoSpaceDE/>
      <w:autoSpaceDN/>
      <w:adjustRightInd/>
      <w:spacing w:after="120"/>
      <w:textAlignment w:val="auto"/>
    </w:pPr>
    <w:rPr>
      <w:rFonts w:eastAsia="Calibri"/>
      <w:szCs w:val="22"/>
      <w:lang w:val="en-GB"/>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ReferenceChar">
    <w:name w:val="Reference Char"/>
    <w:link w:val="Reference"/>
    <w:rsid w:val="007429CA"/>
    <w:rPr>
      <w:rFonts w:ascii="Times New Roman" w:hAnsi="Times New Roman"/>
      <w:lang w:eastAsia="ar-SA"/>
    </w:rPr>
  </w:style>
  <w:style w:type="paragraph" w:styleId="TableofFigures">
    <w:name w:val="table of figures"/>
    <w:basedOn w:val="Normal"/>
    <w:next w:val="Normal"/>
    <w:uiPriority w:val="99"/>
    <w:unhideWhenUsed/>
    <w:rsid w:val="003B4AAF"/>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382">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9890807">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5971883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865363">
      <w:bodyDiv w:val="1"/>
      <w:marLeft w:val="0"/>
      <w:marRight w:val="0"/>
      <w:marTop w:val="0"/>
      <w:marBottom w:val="0"/>
      <w:divBdr>
        <w:top w:val="none" w:sz="0" w:space="0" w:color="auto"/>
        <w:left w:val="none" w:sz="0" w:space="0" w:color="auto"/>
        <w:bottom w:val="none" w:sz="0" w:space="0" w:color="auto"/>
        <w:right w:val="none" w:sz="0" w:space="0" w:color="auto"/>
      </w:divBdr>
    </w:div>
    <w:div w:id="219755256">
      <w:bodyDiv w:val="1"/>
      <w:marLeft w:val="0"/>
      <w:marRight w:val="0"/>
      <w:marTop w:val="0"/>
      <w:marBottom w:val="0"/>
      <w:divBdr>
        <w:top w:val="none" w:sz="0" w:space="0" w:color="auto"/>
        <w:left w:val="none" w:sz="0" w:space="0" w:color="auto"/>
        <w:bottom w:val="none" w:sz="0" w:space="0" w:color="auto"/>
        <w:right w:val="none" w:sz="0" w:space="0" w:color="auto"/>
      </w:divBdr>
    </w:div>
    <w:div w:id="22926626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0722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010266">
      <w:bodyDiv w:val="1"/>
      <w:marLeft w:val="0"/>
      <w:marRight w:val="0"/>
      <w:marTop w:val="0"/>
      <w:marBottom w:val="0"/>
      <w:divBdr>
        <w:top w:val="none" w:sz="0" w:space="0" w:color="auto"/>
        <w:left w:val="none" w:sz="0" w:space="0" w:color="auto"/>
        <w:bottom w:val="none" w:sz="0" w:space="0" w:color="auto"/>
        <w:right w:val="none" w:sz="0" w:space="0" w:color="auto"/>
      </w:divBdr>
    </w:div>
    <w:div w:id="2711299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1592378">
      <w:bodyDiv w:val="1"/>
      <w:marLeft w:val="0"/>
      <w:marRight w:val="0"/>
      <w:marTop w:val="0"/>
      <w:marBottom w:val="0"/>
      <w:divBdr>
        <w:top w:val="none" w:sz="0" w:space="0" w:color="auto"/>
        <w:left w:val="none" w:sz="0" w:space="0" w:color="auto"/>
        <w:bottom w:val="none" w:sz="0" w:space="0" w:color="auto"/>
        <w:right w:val="none" w:sz="0" w:space="0" w:color="auto"/>
      </w:divBdr>
    </w:div>
    <w:div w:id="310905943">
      <w:bodyDiv w:val="1"/>
      <w:marLeft w:val="0"/>
      <w:marRight w:val="0"/>
      <w:marTop w:val="0"/>
      <w:marBottom w:val="0"/>
      <w:divBdr>
        <w:top w:val="none" w:sz="0" w:space="0" w:color="auto"/>
        <w:left w:val="none" w:sz="0" w:space="0" w:color="auto"/>
        <w:bottom w:val="none" w:sz="0" w:space="0" w:color="auto"/>
        <w:right w:val="none" w:sz="0" w:space="0" w:color="auto"/>
      </w:divBdr>
    </w:div>
    <w:div w:id="358043664">
      <w:bodyDiv w:val="1"/>
      <w:marLeft w:val="0"/>
      <w:marRight w:val="0"/>
      <w:marTop w:val="0"/>
      <w:marBottom w:val="0"/>
      <w:divBdr>
        <w:top w:val="none" w:sz="0" w:space="0" w:color="auto"/>
        <w:left w:val="none" w:sz="0" w:space="0" w:color="auto"/>
        <w:bottom w:val="none" w:sz="0" w:space="0" w:color="auto"/>
        <w:right w:val="none" w:sz="0" w:space="0" w:color="auto"/>
      </w:divBdr>
    </w:div>
    <w:div w:id="367025592">
      <w:bodyDiv w:val="1"/>
      <w:marLeft w:val="0"/>
      <w:marRight w:val="0"/>
      <w:marTop w:val="0"/>
      <w:marBottom w:val="0"/>
      <w:divBdr>
        <w:top w:val="none" w:sz="0" w:space="0" w:color="auto"/>
        <w:left w:val="none" w:sz="0" w:space="0" w:color="auto"/>
        <w:bottom w:val="none" w:sz="0" w:space="0" w:color="auto"/>
        <w:right w:val="none" w:sz="0" w:space="0" w:color="auto"/>
      </w:divBdr>
    </w:div>
    <w:div w:id="391121316">
      <w:bodyDiv w:val="1"/>
      <w:marLeft w:val="0"/>
      <w:marRight w:val="0"/>
      <w:marTop w:val="0"/>
      <w:marBottom w:val="0"/>
      <w:divBdr>
        <w:top w:val="none" w:sz="0" w:space="0" w:color="auto"/>
        <w:left w:val="none" w:sz="0" w:space="0" w:color="auto"/>
        <w:bottom w:val="none" w:sz="0" w:space="0" w:color="auto"/>
        <w:right w:val="none" w:sz="0" w:space="0" w:color="auto"/>
      </w:divBdr>
    </w:div>
    <w:div w:id="396782477">
      <w:bodyDiv w:val="1"/>
      <w:marLeft w:val="0"/>
      <w:marRight w:val="0"/>
      <w:marTop w:val="0"/>
      <w:marBottom w:val="0"/>
      <w:divBdr>
        <w:top w:val="none" w:sz="0" w:space="0" w:color="auto"/>
        <w:left w:val="none" w:sz="0" w:space="0" w:color="auto"/>
        <w:bottom w:val="none" w:sz="0" w:space="0" w:color="auto"/>
        <w:right w:val="none" w:sz="0" w:space="0" w:color="auto"/>
      </w:divBdr>
    </w:div>
    <w:div w:id="403376822">
      <w:bodyDiv w:val="1"/>
      <w:marLeft w:val="0"/>
      <w:marRight w:val="0"/>
      <w:marTop w:val="0"/>
      <w:marBottom w:val="0"/>
      <w:divBdr>
        <w:top w:val="none" w:sz="0" w:space="0" w:color="auto"/>
        <w:left w:val="none" w:sz="0" w:space="0" w:color="auto"/>
        <w:bottom w:val="none" w:sz="0" w:space="0" w:color="auto"/>
        <w:right w:val="none" w:sz="0" w:space="0" w:color="auto"/>
      </w:divBdr>
    </w:div>
    <w:div w:id="42673478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3394">
      <w:bodyDiv w:val="1"/>
      <w:marLeft w:val="0"/>
      <w:marRight w:val="0"/>
      <w:marTop w:val="0"/>
      <w:marBottom w:val="0"/>
      <w:divBdr>
        <w:top w:val="none" w:sz="0" w:space="0" w:color="auto"/>
        <w:left w:val="none" w:sz="0" w:space="0" w:color="auto"/>
        <w:bottom w:val="none" w:sz="0" w:space="0" w:color="auto"/>
        <w:right w:val="none" w:sz="0" w:space="0" w:color="auto"/>
      </w:divBdr>
    </w:div>
    <w:div w:id="60296053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871166">
      <w:bodyDiv w:val="1"/>
      <w:marLeft w:val="0"/>
      <w:marRight w:val="0"/>
      <w:marTop w:val="0"/>
      <w:marBottom w:val="0"/>
      <w:divBdr>
        <w:top w:val="none" w:sz="0" w:space="0" w:color="auto"/>
        <w:left w:val="none" w:sz="0" w:space="0" w:color="auto"/>
        <w:bottom w:val="none" w:sz="0" w:space="0" w:color="auto"/>
        <w:right w:val="none" w:sz="0" w:space="0" w:color="auto"/>
      </w:divBdr>
    </w:div>
    <w:div w:id="716397819">
      <w:bodyDiv w:val="1"/>
      <w:marLeft w:val="0"/>
      <w:marRight w:val="0"/>
      <w:marTop w:val="0"/>
      <w:marBottom w:val="0"/>
      <w:divBdr>
        <w:top w:val="none" w:sz="0" w:space="0" w:color="auto"/>
        <w:left w:val="none" w:sz="0" w:space="0" w:color="auto"/>
        <w:bottom w:val="none" w:sz="0" w:space="0" w:color="auto"/>
        <w:right w:val="none" w:sz="0" w:space="0" w:color="auto"/>
      </w:divBdr>
    </w:div>
    <w:div w:id="754592792">
      <w:bodyDiv w:val="1"/>
      <w:marLeft w:val="0"/>
      <w:marRight w:val="0"/>
      <w:marTop w:val="0"/>
      <w:marBottom w:val="0"/>
      <w:divBdr>
        <w:top w:val="none" w:sz="0" w:space="0" w:color="auto"/>
        <w:left w:val="none" w:sz="0" w:space="0" w:color="auto"/>
        <w:bottom w:val="none" w:sz="0" w:space="0" w:color="auto"/>
        <w:right w:val="none" w:sz="0" w:space="0" w:color="auto"/>
      </w:divBdr>
    </w:div>
    <w:div w:id="7718963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793267">
      <w:bodyDiv w:val="1"/>
      <w:marLeft w:val="0"/>
      <w:marRight w:val="0"/>
      <w:marTop w:val="0"/>
      <w:marBottom w:val="0"/>
      <w:divBdr>
        <w:top w:val="none" w:sz="0" w:space="0" w:color="auto"/>
        <w:left w:val="none" w:sz="0" w:space="0" w:color="auto"/>
        <w:bottom w:val="none" w:sz="0" w:space="0" w:color="auto"/>
        <w:right w:val="none" w:sz="0" w:space="0" w:color="auto"/>
      </w:divBdr>
    </w:div>
    <w:div w:id="87708475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380">
      <w:bodyDiv w:val="1"/>
      <w:marLeft w:val="0"/>
      <w:marRight w:val="0"/>
      <w:marTop w:val="0"/>
      <w:marBottom w:val="0"/>
      <w:divBdr>
        <w:top w:val="none" w:sz="0" w:space="0" w:color="auto"/>
        <w:left w:val="none" w:sz="0" w:space="0" w:color="auto"/>
        <w:bottom w:val="none" w:sz="0" w:space="0" w:color="auto"/>
        <w:right w:val="none" w:sz="0" w:space="0" w:color="auto"/>
      </w:divBdr>
    </w:div>
    <w:div w:id="94523198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9264066">
      <w:bodyDiv w:val="1"/>
      <w:marLeft w:val="0"/>
      <w:marRight w:val="0"/>
      <w:marTop w:val="0"/>
      <w:marBottom w:val="0"/>
      <w:divBdr>
        <w:top w:val="none" w:sz="0" w:space="0" w:color="auto"/>
        <w:left w:val="none" w:sz="0" w:space="0" w:color="auto"/>
        <w:bottom w:val="none" w:sz="0" w:space="0" w:color="auto"/>
        <w:right w:val="none" w:sz="0" w:space="0" w:color="auto"/>
      </w:divBdr>
    </w:div>
    <w:div w:id="9949133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2418247">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514746">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75392803">
      <w:bodyDiv w:val="1"/>
      <w:marLeft w:val="0"/>
      <w:marRight w:val="0"/>
      <w:marTop w:val="0"/>
      <w:marBottom w:val="0"/>
      <w:divBdr>
        <w:top w:val="none" w:sz="0" w:space="0" w:color="auto"/>
        <w:left w:val="none" w:sz="0" w:space="0" w:color="auto"/>
        <w:bottom w:val="none" w:sz="0" w:space="0" w:color="auto"/>
        <w:right w:val="none" w:sz="0" w:space="0" w:color="auto"/>
      </w:divBdr>
    </w:div>
    <w:div w:id="108194561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289940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31248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0852">
      <w:bodyDiv w:val="1"/>
      <w:marLeft w:val="0"/>
      <w:marRight w:val="0"/>
      <w:marTop w:val="0"/>
      <w:marBottom w:val="0"/>
      <w:divBdr>
        <w:top w:val="none" w:sz="0" w:space="0" w:color="auto"/>
        <w:left w:val="none" w:sz="0" w:space="0" w:color="auto"/>
        <w:bottom w:val="none" w:sz="0" w:space="0" w:color="auto"/>
        <w:right w:val="none" w:sz="0" w:space="0" w:color="auto"/>
      </w:divBdr>
    </w:div>
    <w:div w:id="116774650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8812224">
      <w:bodyDiv w:val="1"/>
      <w:marLeft w:val="0"/>
      <w:marRight w:val="0"/>
      <w:marTop w:val="0"/>
      <w:marBottom w:val="0"/>
      <w:divBdr>
        <w:top w:val="none" w:sz="0" w:space="0" w:color="auto"/>
        <w:left w:val="none" w:sz="0" w:space="0" w:color="auto"/>
        <w:bottom w:val="none" w:sz="0" w:space="0" w:color="auto"/>
        <w:right w:val="none" w:sz="0" w:space="0" w:color="auto"/>
      </w:divBdr>
      <w:divsChild>
        <w:div w:id="1314529632">
          <w:marLeft w:val="2520"/>
          <w:marRight w:val="0"/>
          <w:marTop w:val="100"/>
          <w:marBottom w:val="0"/>
          <w:divBdr>
            <w:top w:val="none" w:sz="0" w:space="0" w:color="auto"/>
            <w:left w:val="none" w:sz="0" w:space="0" w:color="auto"/>
            <w:bottom w:val="none" w:sz="0" w:space="0" w:color="auto"/>
            <w:right w:val="none" w:sz="0" w:space="0" w:color="auto"/>
          </w:divBdr>
        </w:div>
        <w:div w:id="801190794">
          <w:marLeft w:val="2520"/>
          <w:marRight w:val="0"/>
          <w:marTop w:val="100"/>
          <w:marBottom w:val="0"/>
          <w:divBdr>
            <w:top w:val="none" w:sz="0" w:space="0" w:color="auto"/>
            <w:left w:val="none" w:sz="0" w:space="0" w:color="auto"/>
            <w:bottom w:val="none" w:sz="0" w:space="0" w:color="auto"/>
            <w:right w:val="none" w:sz="0" w:space="0" w:color="auto"/>
          </w:divBdr>
        </w:div>
      </w:divsChild>
    </w:div>
    <w:div w:id="120941931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2961425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446867">
      <w:bodyDiv w:val="1"/>
      <w:marLeft w:val="0"/>
      <w:marRight w:val="0"/>
      <w:marTop w:val="0"/>
      <w:marBottom w:val="0"/>
      <w:divBdr>
        <w:top w:val="none" w:sz="0" w:space="0" w:color="auto"/>
        <w:left w:val="none" w:sz="0" w:space="0" w:color="auto"/>
        <w:bottom w:val="none" w:sz="0" w:space="0" w:color="auto"/>
        <w:right w:val="none" w:sz="0" w:space="0" w:color="auto"/>
      </w:divBdr>
    </w:div>
    <w:div w:id="1285621074">
      <w:bodyDiv w:val="1"/>
      <w:marLeft w:val="0"/>
      <w:marRight w:val="0"/>
      <w:marTop w:val="0"/>
      <w:marBottom w:val="0"/>
      <w:divBdr>
        <w:top w:val="none" w:sz="0" w:space="0" w:color="auto"/>
        <w:left w:val="none" w:sz="0" w:space="0" w:color="auto"/>
        <w:bottom w:val="none" w:sz="0" w:space="0" w:color="auto"/>
        <w:right w:val="none" w:sz="0" w:space="0" w:color="auto"/>
      </w:divBdr>
    </w:div>
    <w:div w:id="129501881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0475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26804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4612783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18577">
      <w:bodyDiv w:val="1"/>
      <w:marLeft w:val="0"/>
      <w:marRight w:val="0"/>
      <w:marTop w:val="0"/>
      <w:marBottom w:val="0"/>
      <w:divBdr>
        <w:top w:val="none" w:sz="0" w:space="0" w:color="auto"/>
        <w:left w:val="none" w:sz="0" w:space="0" w:color="auto"/>
        <w:bottom w:val="none" w:sz="0" w:space="0" w:color="auto"/>
        <w:right w:val="none" w:sz="0" w:space="0" w:color="auto"/>
      </w:divBdr>
    </w:div>
    <w:div w:id="137831753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3903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41028">
      <w:bodyDiv w:val="1"/>
      <w:marLeft w:val="0"/>
      <w:marRight w:val="0"/>
      <w:marTop w:val="0"/>
      <w:marBottom w:val="0"/>
      <w:divBdr>
        <w:top w:val="none" w:sz="0" w:space="0" w:color="auto"/>
        <w:left w:val="none" w:sz="0" w:space="0" w:color="auto"/>
        <w:bottom w:val="none" w:sz="0" w:space="0" w:color="auto"/>
        <w:right w:val="none" w:sz="0" w:space="0" w:color="auto"/>
      </w:divBdr>
    </w:div>
    <w:div w:id="149359742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589077059">
      <w:bodyDiv w:val="1"/>
      <w:marLeft w:val="0"/>
      <w:marRight w:val="0"/>
      <w:marTop w:val="0"/>
      <w:marBottom w:val="0"/>
      <w:divBdr>
        <w:top w:val="none" w:sz="0" w:space="0" w:color="auto"/>
        <w:left w:val="none" w:sz="0" w:space="0" w:color="auto"/>
        <w:bottom w:val="none" w:sz="0" w:space="0" w:color="auto"/>
        <w:right w:val="none" w:sz="0" w:space="0" w:color="auto"/>
      </w:divBdr>
    </w:div>
    <w:div w:id="1604607899">
      <w:bodyDiv w:val="1"/>
      <w:marLeft w:val="0"/>
      <w:marRight w:val="0"/>
      <w:marTop w:val="0"/>
      <w:marBottom w:val="0"/>
      <w:divBdr>
        <w:top w:val="none" w:sz="0" w:space="0" w:color="auto"/>
        <w:left w:val="none" w:sz="0" w:space="0" w:color="auto"/>
        <w:bottom w:val="none" w:sz="0" w:space="0" w:color="auto"/>
        <w:right w:val="none" w:sz="0" w:space="0" w:color="auto"/>
      </w:divBdr>
    </w:div>
    <w:div w:id="1606114191">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18895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256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947377">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72625557">
      <w:bodyDiv w:val="1"/>
      <w:marLeft w:val="0"/>
      <w:marRight w:val="0"/>
      <w:marTop w:val="0"/>
      <w:marBottom w:val="0"/>
      <w:divBdr>
        <w:top w:val="none" w:sz="0" w:space="0" w:color="auto"/>
        <w:left w:val="none" w:sz="0" w:space="0" w:color="auto"/>
        <w:bottom w:val="none" w:sz="0" w:space="0" w:color="auto"/>
        <w:right w:val="none" w:sz="0" w:space="0" w:color="auto"/>
      </w:divBdr>
    </w:div>
    <w:div w:id="1796215150">
      <w:bodyDiv w:val="1"/>
      <w:marLeft w:val="0"/>
      <w:marRight w:val="0"/>
      <w:marTop w:val="0"/>
      <w:marBottom w:val="0"/>
      <w:divBdr>
        <w:top w:val="none" w:sz="0" w:space="0" w:color="auto"/>
        <w:left w:val="none" w:sz="0" w:space="0" w:color="auto"/>
        <w:bottom w:val="none" w:sz="0" w:space="0" w:color="auto"/>
        <w:right w:val="none" w:sz="0" w:space="0" w:color="auto"/>
      </w:divBdr>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25320197">
      <w:bodyDiv w:val="1"/>
      <w:marLeft w:val="0"/>
      <w:marRight w:val="0"/>
      <w:marTop w:val="0"/>
      <w:marBottom w:val="0"/>
      <w:divBdr>
        <w:top w:val="none" w:sz="0" w:space="0" w:color="auto"/>
        <w:left w:val="none" w:sz="0" w:space="0" w:color="auto"/>
        <w:bottom w:val="none" w:sz="0" w:space="0" w:color="auto"/>
        <w:right w:val="none" w:sz="0" w:space="0" w:color="auto"/>
      </w:divBdr>
    </w:div>
    <w:div w:id="18463608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6367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52197">
      <w:bodyDiv w:val="1"/>
      <w:marLeft w:val="0"/>
      <w:marRight w:val="0"/>
      <w:marTop w:val="0"/>
      <w:marBottom w:val="0"/>
      <w:divBdr>
        <w:top w:val="none" w:sz="0" w:space="0" w:color="auto"/>
        <w:left w:val="none" w:sz="0" w:space="0" w:color="auto"/>
        <w:bottom w:val="none" w:sz="0" w:space="0" w:color="auto"/>
        <w:right w:val="none" w:sz="0" w:space="0" w:color="auto"/>
      </w:divBdr>
    </w:div>
    <w:div w:id="19676588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860967">
      <w:bodyDiv w:val="1"/>
      <w:marLeft w:val="0"/>
      <w:marRight w:val="0"/>
      <w:marTop w:val="0"/>
      <w:marBottom w:val="0"/>
      <w:divBdr>
        <w:top w:val="none" w:sz="0" w:space="0" w:color="auto"/>
        <w:left w:val="none" w:sz="0" w:space="0" w:color="auto"/>
        <w:bottom w:val="none" w:sz="0" w:space="0" w:color="auto"/>
        <w:right w:val="none" w:sz="0" w:space="0" w:color="auto"/>
      </w:divBdr>
    </w:div>
    <w:div w:id="1986932265">
      <w:bodyDiv w:val="1"/>
      <w:marLeft w:val="0"/>
      <w:marRight w:val="0"/>
      <w:marTop w:val="0"/>
      <w:marBottom w:val="0"/>
      <w:divBdr>
        <w:top w:val="none" w:sz="0" w:space="0" w:color="auto"/>
        <w:left w:val="none" w:sz="0" w:space="0" w:color="auto"/>
        <w:bottom w:val="none" w:sz="0" w:space="0" w:color="auto"/>
        <w:right w:val="none" w:sz="0" w:space="0" w:color="auto"/>
      </w:divBdr>
    </w:div>
    <w:div w:id="1990748664">
      <w:bodyDiv w:val="1"/>
      <w:marLeft w:val="0"/>
      <w:marRight w:val="0"/>
      <w:marTop w:val="0"/>
      <w:marBottom w:val="0"/>
      <w:divBdr>
        <w:top w:val="none" w:sz="0" w:space="0" w:color="auto"/>
        <w:left w:val="none" w:sz="0" w:space="0" w:color="auto"/>
        <w:bottom w:val="none" w:sz="0" w:space="0" w:color="auto"/>
        <w:right w:val="none" w:sz="0" w:space="0" w:color="auto"/>
      </w:divBdr>
    </w:div>
    <w:div w:id="2005009507">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oleObject" Target="embeddings/oleObject1.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oleObject" Target="embeddings/oleObject2.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HR33RHYHUWRF-4-6742</_dlc_DocId>
    <_dlc_DocIdUrl xmlns="c06861ca-3f08-4d07-bff7-bb15bac121f4">
      <Url>https://projects.qualcomm.com/sites/pentari/_layouts/15/DocIdRedir.aspx?ID=HR33RHYHUWRF-4-6742</Url>
      <Description>HR33RHYHUWRF-4-6742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37FE3CB1-C2E8-4F25-8108-7A09B8C2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7474</Words>
  <Characters>42607</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49982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Qualcomm</cp:lastModifiedBy>
  <cp:revision>2</cp:revision>
  <cp:lastPrinted>2018-04-07T03:05:00Z</cp:lastPrinted>
  <dcterms:created xsi:type="dcterms:W3CDTF">2018-04-07T05:21:00Z</dcterms:created>
  <dcterms:modified xsi:type="dcterms:W3CDTF">2018-04-07T05:21:00Z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31d52354-cbdc-4672-856e-75cad5fcb3e6</vt:lpwstr>
  </property>
</Properties>
</file>